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Головним територіальним управлінням юстиції у Тернопільській області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Федорової Нелі Василівни</w:t>
      </w:r>
      <w:r>
        <w:rPr>
          <w:rFonts w:ascii="Times New Roman" w:hAnsi="Times New Roman"/>
          <w:sz w:val="28"/>
          <w:szCs w:val="28"/>
        </w:rPr>
        <w:t xml:space="preserve">, спеціаліста </w:t>
      </w:r>
      <w:r>
        <w:rPr>
          <w:rFonts w:ascii="Times New Roman" w:hAnsi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/>
          <w:sz w:val="28"/>
          <w:szCs w:val="28"/>
          <w:lang w:val="uk-UA"/>
        </w:rPr>
        <w:t>категорії Тернопільського районного відділу державної виконавчої служби Головного територіального управління юстиції у Тернопільській області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ascii="Times New Roman" w:hAnsi="Times New Roman"/>
          <w:b/>
          <w:sz w:val="28"/>
          <w:szCs w:val="28"/>
        </w:rPr>
        <w:t>Федорової Нелі Василівни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   (довідка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Головного територіального управління юстиції у Тернопільській області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Application>LibreOffice/7.0.0.3$Windows_x86 LibreOffice_project/8061b3e9204bef6b321a21033174034a5e2ea88e</Application>
  <Pages>1</Pages>
  <Words>149</Words>
  <Characters>1080</Characters>
  <CharactersWithSpaces>1302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2024-09-05T09:13:56Z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