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8F" w:rsidRPr="00F33C8F" w:rsidRDefault="00F33C8F" w:rsidP="00F33C8F">
      <w:pPr>
        <w:pStyle w:val="rvps2"/>
        <w:shd w:val="clear" w:color="auto" w:fill="FFFFFF"/>
        <w:spacing w:after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r w:rsidRPr="00F33C8F">
        <w:rPr>
          <w:b/>
          <w:color w:val="000000" w:themeColor="text1"/>
          <w:sz w:val="28"/>
          <w:szCs w:val="28"/>
          <w:lang w:val="uk-UA"/>
        </w:rPr>
        <w:t>І</w:t>
      </w:r>
      <w:r w:rsidR="003537D6" w:rsidRPr="00F33C8F">
        <w:rPr>
          <w:b/>
          <w:color w:val="000000" w:themeColor="text1"/>
          <w:sz w:val="28"/>
          <w:szCs w:val="28"/>
          <w:lang w:val="uk-UA"/>
        </w:rPr>
        <w:t>нформацію щодо відкритих торгів на закупівлю за предметом Яловичина морожена (м’якоть) 1 категорії (глибокої заморозки), філе куряче с/м, тушка куряча с/м, четвертина куряча с/м, печінка яловича с/м, печінка куряча с/м</w:t>
      </w:r>
    </w:p>
    <w:p w:rsidR="00F33C8F" w:rsidRPr="00F33C8F" w:rsidRDefault="003537D6" w:rsidP="00F33C8F">
      <w:pPr>
        <w:pStyle w:val="rvps2"/>
        <w:shd w:val="clear" w:color="auto" w:fill="FFFFFF"/>
        <w:spacing w:after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F33C8F">
        <w:rPr>
          <w:b/>
          <w:color w:val="000000" w:themeColor="text1"/>
          <w:sz w:val="28"/>
          <w:szCs w:val="28"/>
          <w:lang w:val="uk-UA"/>
        </w:rPr>
        <w:t>(</w:t>
      </w:r>
      <w:r w:rsidR="00F33C8F" w:rsidRPr="00F33C8F">
        <w:rPr>
          <w:b/>
          <w:color w:val="000000" w:themeColor="text1"/>
          <w:sz w:val="28"/>
          <w:szCs w:val="28"/>
          <w:lang w:val="uk-UA"/>
        </w:rPr>
        <w:t xml:space="preserve">код за ДК 021:2015: </w:t>
      </w:r>
      <w:r w:rsidRPr="00F33C8F">
        <w:rPr>
          <w:b/>
          <w:color w:val="000000" w:themeColor="text1"/>
          <w:sz w:val="28"/>
          <w:szCs w:val="28"/>
          <w:lang w:val="uk-UA"/>
        </w:rPr>
        <w:t>15110000-2 “М'ясо”)</w:t>
      </w:r>
    </w:p>
    <w:p w:rsidR="003537D6" w:rsidRPr="00F33C8F" w:rsidRDefault="003537D6" w:rsidP="00F33C8F">
      <w:pPr>
        <w:pStyle w:val="rvps2"/>
        <w:shd w:val="clear" w:color="auto" w:fill="FFFFFF"/>
        <w:spacing w:after="0" w:line="240" w:lineRule="atLeast"/>
        <w:ind w:firstLine="450"/>
        <w:jc w:val="center"/>
        <w:rPr>
          <w:b/>
          <w:sz w:val="28"/>
          <w:szCs w:val="28"/>
          <w:lang w:val="uk-UA"/>
        </w:rPr>
      </w:pPr>
      <w:r w:rsidRPr="00F33C8F">
        <w:rPr>
          <w:b/>
          <w:sz w:val="28"/>
          <w:szCs w:val="28"/>
        </w:rPr>
        <w:t>(</w:t>
      </w:r>
      <w:r w:rsidRPr="00F33C8F">
        <w:rPr>
          <w:b/>
          <w:sz w:val="28"/>
          <w:szCs w:val="28"/>
          <w:lang w:val="uk-UA"/>
        </w:rPr>
        <w:t>Ідентифікатор закупівлі</w:t>
      </w:r>
      <w:r w:rsidRPr="00F33C8F">
        <w:rPr>
          <w:b/>
          <w:sz w:val="28"/>
          <w:szCs w:val="28"/>
          <w:lang w:val="uk-UA"/>
        </w:rPr>
        <w:tab/>
        <w:t>UA-2021-02-22-002711-c).</w:t>
      </w:r>
    </w:p>
    <w:bookmarkEnd w:id="0"/>
    <w:p w:rsidR="003537D6" w:rsidRDefault="003537D6" w:rsidP="003537D6">
      <w:pPr>
        <w:pStyle w:val="rvps2"/>
        <w:shd w:val="clear" w:color="auto" w:fill="FFFFFF"/>
        <w:spacing w:after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Закупівля здійснюється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для потреб 2021 року. 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визначення очікуваної вартості закупівлі здійснено моніторинг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цін на товар за допомогою мережі інтернет та отримано довідку головного управління  статистики у Чернігівській області щодо середніх роздрібних цін на продовольчі товари в Чернігівській області в січні 2021року.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урахуванням вищевикладеного, очікувана вартість закупівлі становитиме </w:t>
      </w:r>
      <w:r w:rsidRPr="003537D6">
        <w:rPr>
          <w:color w:val="000000" w:themeColor="text1"/>
          <w:sz w:val="28"/>
          <w:szCs w:val="28"/>
          <w:shd w:val="clear" w:color="auto" w:fill="FFFFFF"/>
          <w:lang w:val="uk-UA"/>
        </w:rPr>
        <w:t>240`442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,00 грн.</w:t>
      </w:r>
    </w:p>
    <w:p w:rsidR="003537D6" w:rsidRPr="00284A2E" w:rsidRDefault="003537D6" w:rsidP="003537D6">
      <w:pPr>
        <w:suppressAutoHyphens/>
        <w:spacing w:after="0" w:line="240" w:lineRule="auto"/>
        <w:jc w:val="center"/>
        <w:rPr>
          <w:rFonts w:ascii="Times New Roman" w:eastAsia="Calibri" w:hAnsi="Times New Roman" w:cs="font222"/>
          <w:kern w:val="1"/>
          <w:lang w:eastAsia="zh-CN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Інформація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про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необхідні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технічні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,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якісні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та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кількісні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характеристики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предмета</w:t>
      </w:r>
      <w:proofErr w:type="spellEnd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 xml:space="preserve"> </w:t>
      </w:r>
      <w:proofErr w:type="spellStart"/>
      <w:r w:rsidRPr="00284A2E">
        <w:rPr>
          <w:rFonts w:ascii="Times New Roman" w:eastAsia="Calibri" w:hAnsi="Times New Roman" w:cs="font222"/>
          <w:b/>
          <w:kern w:val="1"/>
          <w:sz w:val="24"/>
          <w:szCs w:val="24"/>
          <w:lang w:eastAsia="zh-CN"/>
        </w:rPr>
        <w:t>закупівлі</w:t>
      </w:r>
      <w:proofErr w:type="spellEnd"/>
    </w:p>
    <w:p w:rsidR="003537D6" w:rsidRPr="00284A2E" w:rsidRDefault="003537D6" w:rsidP="003537D6">
      <w:pPr>
        <w:spacing w:after="0" w:line="240" w:lineRule="auto"/>
        <w:ind w:firstLine="708"/>
        <w:jc w:val="both"/>
        <w:rPr>
          <w:rFonts w:ascii="Times New Roman" w:eastAsia="Calibri" w:hAnsi="Times New Roman" w:cs="font222"/>
          <w:b/>
          <w:kern w:val="1"/>
          <w:sz w:val="24"/>
          <w:szCs w:val="24"/>
        </w:rPr>
      </w:pPr>
    </w:p>
    <w:p w:rsidR="003537D6" w:rsidRPr="00284A2E" w:rsidRDefault="003537D6" w:rsidP="003537D6">
      <w:pPr>
        <w:spacing w:after="120" w:line="240" w:lineRule="auto"/>
        <w:ind w:right="72" w:firstLine="72"/>
        <w:jc w:val="both"/>
        <w:rPr>
          <w:rFonts w:ascii="Times New Roman" w:eastAsia="Calibri" w:hAnsi="Times New Roman" w:cs="font222"/>
          <w:b/>
          <w:bCs/>
          <w:kern w:val="1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предмет</w:t>
      </w:r>
      <w:proofErr w:type="spellEnd"/>
      <w:proofErr w:type="gram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закупівлі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: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Яловичина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морожена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(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м’якоть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) 1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категорії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(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глибокої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заморозки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),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філе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куряче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с/м,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тушка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куряча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с/м,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четвертина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куряча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с/м,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печінка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яловича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с/м,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печінка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куряча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с/м (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код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за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 ДК 021:2015: 15110000-2 “</w:t>
      </w:r>
      <w:proofErr w:type="spellStart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>М'ясо</w:t>
      </w:r>
      <w:proofErr w:type="spellEnd"/>
      <w:r w:rsidRPr="009E21F2">
        <w:rPr>
          <w:rFonts w:ascii="Times New Roman" w:eastAsia="Calibri" w:hAnsi="Times New Roman" w:cs="font222"/>
          <w:kern w:val="1"/>
          <w:sz w:val="24"/>
          <w:szCs w:val="24"/>
          <w:lang w:eastAsia="ar-SA"/>
        </w:rPr>
        <w:t xml:space="preserve">”  )  </w:t>
      </w:r>
    </w:p>
    <w:p w:rsidR="003537D6" w:rsidRPr="00284A2E" w:rsidRDefault="003537D6" w:rsidP="003537D6">
      <w:pPr>
        <w:spacing w:after="120" w:line="240" w:lineRule="auto"/>
        <w:ind w:right="72" w:firstLine="72"/>
        <w:jc w:val="both"/>
        <w:rPr>
          <w:rFonts w:ascii="Times New Roman" w:eastAsia="Calibri" w:hAnsi="Times New Roman" w:cs="font222"/>
          <w:kern w:val="1"/>
          <w:lang w:eastAsia="zh-CN"/>
        </w:rPr>
      </w:pPr>
    </w:p>
    <w:tbl>
      <w:tblPr>
        <w:tblW w:w="9797" w:type="dxa"/>
        <w:tblInd w:w="33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4961"/>
        <w:gridCol w:w="996"/>
        <w:gridCol w:w="1322"/>
      </w:tblGrid>
      <w:tr w:rsidR="003537D6" w:rsidRPr="00284A2E" w:rsidTr="000F24D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 w:rsidRPr="00284A2E">
              <w:rPr>
                <w:rFonts w:ascii="Times New Roman" w:eastAsia="Times New Roman" w:hAnsi="Times New Roman" w:cs="Times New Roman"/>
                <w:b/>
                <w:bCs/>
                <w:kern w:val="1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Найменування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b/>
                <w:kern w:val="1"/>
              </w:rPr>
              <w:t>Якісні</w:t>
            </w:r>
            <w:proofErr w:type="spellEnd"/>
            <w:r w:rsidRPr="00284A2E">
              <w:rPr>
                <w:rFonts w:ascii="Times New Roman" w:eastAsia="Calibri" w:hAnsi="Times New Roman" w:cs="font222"/>
                <w:b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b/>
                <w:kern w:val="1"/>
              </w:rPr>
              <w:t>характеристики</w:t>
            </w:r>
            <w:proofErr w:type="spell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Один</w:t>
            </w:r>
            <w:proofErr w:type="spellEnd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 xml:space="preserve">. </w:t>
            </w:r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виміру</w:t>
            </w:r>
            <w:proofErr w:type="spellEnd"/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Кількість</w:t>
            </w:r>
          </w:p>
        </w:tc>
      </w:tr>
      <w:tr w:rsidR="003537D6" w:rsidRPr="00284A2E" w:rsidTr="000F24D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33275B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>Яловичина</w:t>
            </w:r>
            <w:proofErr w:type="spellEnd"/>
          </w:p>
          <w:p w:rsidR="003537D6" w:rsidRPr="0033275B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>морожена</w:t>
            </w:r>
            <w:proofErr w:type="spellEnd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 xml:space="preserve"> </w:t>
            </w:r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м’якоть</w:t>
            </w:r>
            <w:proofErr w:type="spellEnd"/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) 1 </w:t>
            </w:r>
            <w:proofErr w:type="spellStart"/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гатунку</w:t>
            </w:r>
            <w:proofErr w:type="spellEnd"/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глибокої</w:t>
            </w:r>
            <w:proofErr w:type="spellEnd"/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заморозки</w:t>
            </w:r>
            <w:proofErr w:type="spellEnd"/>
            <w:r w:rsidRPr="0033275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Відповідає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діючим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ГОСТ, ДСТУ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або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ТУ,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що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діють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території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України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>.</w:t>
            </w:r>
          </w:p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М’ясо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першої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категорії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щільної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структури</w:t>
            </w:r>
            <w:proofErr w:type="spellEnd"/>
            <w:proofErr w:type="gramStart"/>
            <w:r w:rsidRPr="00284A2E">
              <w:rPr>
                <w:rFonts w:ascii="Times New Roman" w:eastAsia="Calibri" w:hAnsi="Times New Roman" w:cs="font222"/>
                <w:kern w:val="1"/>
              </w:rPr>
              <w:t>, ,</w:t>
            </w:r>
            <w:proofErr w:type="gram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льодяної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глазурі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кісток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сторонніх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запахів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сала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.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Термін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придатності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від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загального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терміну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зберігання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передбачений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виробником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час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поставки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(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не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менше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ніж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80 %.)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кг</w:t>
            </w:r>
            <w:proofErr w:type="spellEnd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>
              <w:rPr>
                <w:rFonts w:ascii="Times New Roman" w:eastAsia="Calibri" w:hAnsi="Times New Roman" w:cs="font222"/>
                <w:b/>
                <w:bCs/>
                <w:kern w:val="1"/>
              </w:rPr>
              <w:t>990</w:t>
            </w:r>
          </w:p>
        </w:tc>
      </w:tr>
      <w:tr w:rsidR="003537D6" w:rsidRPr="00284A2E" w:rsidTr="000F24D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33275B" w:rsidRDefault="003537D6" w:rsidP="000F24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</w:rPr>
            </w:pPr>
          </w:p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</w:rPr>
            </w:pPr>
          </w:p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>Філе</w:t>
            </w:r>
            <w:proofErr w:type="spellEnd"/>
          </w:p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>Куряче</w:t>
            </w:r>
            <w:proofErr w:type="spellEnd"/>
            <w:r w:rsidRPr="0033275B">
              <w:rPr>
                <w:rFonts w:ascii="Times New Roman" w:eastAsia="Calibri" w:hAnsi="Times New Roman" w:cs="font222"/>
                <w:b/>
                <w:kern w:val="1"/>
                <w:lang w:eastAsia="zh-CN"/>
              </w:rPr>
              <w:t xml:space="preserve"> с/м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Відповідає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діючим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ГОСТ, ДСТУ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або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ТУ,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що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діють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території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України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>.</w:t>
            </w:r>
          </w:p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М’ясо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сторонніх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запахів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льодяної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глазурі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з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повністю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видаленим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оперінням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згустків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крові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.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Термін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придатності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від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загального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терміну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зберігання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передбачений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виробником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на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час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поставки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не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менше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ніж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80 %.</w:t>
            </w:r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)</w:t>
            </w:r>
          </w:p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bookmarkStart w:id="1" w:name="__DdeLink__231_1585275570"/>
            <w:bookmarkEnd w:id="1"/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кг</w:t>
            </w:r>
            <w:proofErr w:type="spellEnd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>
              <w:rPr>
                <w:rFonts w:ascii="Times New Roman" w:eastAsia="Calibri" w:hAnsi="Times New Roman" w:cs="font222"/>
                <w:b/>
                <w:bCs/>
                <w:kern w:val="1"/>
              </w:rPr>
              <w:t>310</w:t>
            </w:r>
          </w:p>
        </w:tc>
      </w:tr>
      <w:tr w:rsidR="003537D6" w:rsidRPr="00284A2E" w:rsidTr="000F24D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 w:rsidRPr="00284A2E">
              <w:rPr>
                <w:rFonts w:ascii="Times New Roman" w:eastAsia="Calibri" w:hAnsi="Times New Roman" w:cs="font222"/>
                <w:b/>
                <w:bCs/>
                <w:kern w:val="1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>Тушка</w:t>
            </w:r>
            <w:proofErr w:type="spellEnd"/>
          </w:p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>Куряча</w:t>
            </w:r>
            <w:proofErr w:type="spellEnd"/>
            <w:r w:rsidRPr="0033275B">
              <w:rPr>
                <w:rFonts w:ascii="Times New Roman" w:eastAsia="Calibri" w:hAnsi="Times New Roman" w:cs="font222"/>
                <w:b/>
                <w:kern w:val="1"/>
                <w:lang w:eastAsia="zh-CN"/>
              </w:rPr>
              <w:t xml:space="preserve"> с/м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Відповідає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діючим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ГОСТ, ДСТУ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або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ТУ,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що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діють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території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України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>.</w:t>
            </w:r>
          </w:p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М’ясо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сторонніх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запахів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льодяної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глазурі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з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повністю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видаленим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оперінням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згустків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крові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.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Термін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придатності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від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загального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терміну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зберігання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передбачений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виробником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на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час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поставки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не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менше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ніж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r>
              <w:rPr>
                <w:rFonts w:ascii="Times New Roman" w:eastAsia="Calibri" w:hAnsi="Times New Roman" w:cs="font222"/>
                <w:kern w:val="1"/>
              </w:rPr>
              <w:t>80</w:t>
            </w:r>
            <w:r w:rsidRPr="00284A2E">
              <w:rPr>
                <w:rFonts w:ascii="Times New Roman" w:eastAsia="Calibri" w:hAnsi="Times New Roman" w:cs="font222"/>
                <w:kern w:val="1"/>
              </w:rPr>
              <w:t xml:space="preserve"> %.</w:t>
            </w:r>
            <w:r>
              <w:rPr>
                <w:rFonts w:ascii="Times New Roman" w:eastAsia="Calibri" w:hAnsi="Times New Roman" w:cs="font222"/>
                <w:kern w:val="1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кг</w:t>
            </w:r>
            <w:proofErr w:type="spellEnd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>
              <w:rPr>
                <w:rFonts w:ascii="Times New Roman" w:eastAsia="Calibri" w:hAnsi="Times New Roman" w:cs="font222"/>
                <w:b/>
                <w:bCs/>
                <w:kern w:val="1"/>
                <w:lang w:eastAsia="zh-CN"/>
              </w:rPr>
              <w:t>310</w:t>
            </w:r>
          </w:p>
        </w:tc>
      </w:tr>
      <w:tr w:rsidR="003537D6" w:rsidRPr="00284A2E" w:rsidTr="000F24D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 w:rsidRPr="00284A2E">
              <w:rPr>
                <w:rFonts w:ascii="Times New Roman" w:eastAsia="Calibri" w:hAnsi="Times New Roman" w:cs="font222"/>
                <w:b/>
                <w:bCs/>
                <w:kern w:val="1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>Четвертина</w:t>
            </w:r>
            <w:proofErr w:type="spellEnd"/>
          </w:p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</w:rPr>
              <w:t>Куряча</w:t>
            </w:r>
            <w:proofErr w:type="spellEnd"/>
            <w:r w:rsidRPr="0033275B">
              <w:rPr>
                <w:rFonts w:ascii="Times New Roman" w:eastAsia="Calibri" w:hAnsi="Times New Roman" w:cs="font222"/>
                <w:b/>
                <w:kern w:val="1"/>
                <w:lang w:eastAsia="zh-CN"/>
              </w:rPr>
              <w:t xml:space="preserve"> с/м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Відповідає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діючим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ГОСТ, ДСТУ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або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ТУ,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що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діють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території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України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>.</w:t>
            </w:r>
          </w:p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М’ясо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сторонніх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запахів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льодяної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глазурі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з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повністю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видаленим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оперінням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згустків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крові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.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Термін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придатності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від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загального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терміну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зберігання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передбачений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виробником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час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</w:rPr>
              <w:t>поставки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не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менше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font222"/>
                <w:kern w:val="1"/>
              </w:rPr>
              <w:t>ніж</w:t>
            </w:r>
            <w:proofErr w:type="spellEnd"/>
            <w:r>
              <w:rPr>
                <w:rFonts w:ascii="Times New Roman" w:eastAsia="Calibri" w:hAnsi="Times New Roman" w:cs="font222"/>
                <w:kern w:val="1"/>
              </w:rPr>
              <w:t xml:space="preserve"> </w:t>
            </w:r>
            <w:r w:rsidRPr="00284A2E">
              <w:rPr>
                <w:rFonts w:ascii="Times New Roman" w:eastAsia="Calibri" w:hAnsi="Times New Roman" w:cs="font222"/>
                <w:kern w:val="1"/>
              </w:rPr>
              <w:t>80 %.</w:t>
            </w:r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кг</w:t>
            </w:r>
            <w:proofErr w:type="spellEnd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>
              <w:rPr>
                <w:rFonts w:ascii="Times New Roman" w:eastAsia="Calibri" w:hAnsi="Times New Roman" w:cs="font222"/>
                <w:b/>
                <w:bCs/>
                <w:kern w:val="1"/>
                <w:lang w:eastAsia="zh-CN"/>
              </w:rPr>
              <w:t>310</w:t>
            </w:r>
          </w:p>
        </w:tc>
      </w:tr>
      <w:tr w:rsidR="003537D6" w:rsidRPr="00284A2E" w:rsidTr="000F24D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>
              <w:rPr>
                <w:rFonts w:ascii="Times New Roman" w:eastAsia="Calibri" w:hAnsi="Times New Roman" w:cs="font222"/>
                <w:b/>
                <w:bCs/>
                <w:kern w:val="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  <w:lang w:eastAsia="zh-CN"/>
              </w:rPr>
              <w:t>Печінка</w:t>
            </w:r>
            <w:proofErr w:type="spellEnd"/>
          </w:p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  <w:lang w:eastAsia="zh-CN"/>
              </w:rPr>
              <w:t>куряча</w:t>
            </w:r>
            <w:proofErr w:type="spellEnd"/>
            <w:r w:rsidRPr="0033275B">
              <w:rPr>
                <w:rFonts w:ascii="Times New Roman" w:eastAsia="Calibri" w:hAnsi="Times New Roman" w:cs="font222"/>
                <w:b/>
                <w:kern w:val="1"/>
                <w:sz w:val="24"/>
                <w:szCs w:val="24"/>
                <w:lang w:eastAsia="zh-CN"/>
              </w:rPr>
              <w:t xml:space="preserve"> с/м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Відповідає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діючим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ГОСТ, ДСТУ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або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ТУ,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що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діють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території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України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.</w:t>
            </w:r>
          </w:p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lastRenderedPageBreak/>
              <w:t>М’ясо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першої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категорії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щільної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структури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льодяної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глазурі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та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сторонніх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запахів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.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Термін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придатності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від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загального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терміну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зберігання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передбачений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виробником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на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час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поставки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не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менше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ніж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 xml:space="preserve"> </w:t>
            </w:r>
            <w:r w:rsidRPr="00284A2E">
              <w:rPr>
                <w:rFonts w:ascii="Times New Roman" w:eastAsia="Calibri" w:hAnsi="Times New Roman" w:cs="font222"/>
                <w:kern w:val="1"/>
                <w:lang w:eastAsia="zh-CN"/>
              </w:rPr>
              <w:t>80 %.</w:t>
            </w:r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lastRenderedPageBreak/>
              <w:t>кг</w:t>
            </w:r>
            <w:proofErr w:type="spellEnd"/>
            <w:r w:rsidRPr="00284A2E">
              <w:rPr>
                <w:rFonts w:ascii="Times New Roman" w:eastAsia="Calibri" w:hAnsi="Times New Roman" w:cs="font222"/>
                <w:b/>
                <w:bCs/>
                <w:kern w:val="1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>
              <w:rPr>
                <w:rFonts w:ascii="Times New Roman" w:eastAsia="Calibri" w:hAnsi="Times New Roman" w:cs="font222"/>
                <w:b/>
                <w:bCs/>
                <w:kern w:val="1"/>
              </w:rPr>
              <w:t>443</w:t>
            </w:r>
          </w:p>
        </w:tc>
      </w:tr>
      <w:tr w:rsidR="003537D6" w:rsidRPr="00284A2E" w:rsidTr="000F24DF">
        <w:tc>
          <w:tcPr>
            <w:tcW w:w="5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>
              <w:rPr>
                <w:rFonts w:ascii="Times New Roman" w:eastAsia="Calibri" w:hAnsi="Times New Roman" w:cs="font222"/>
                <w:b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bCs/>
                <w:kern w:val="1"/>
                <w:sz w:val="24"/>
                <w:szCs w:val="24"/>
                <w:lang w:eastAsia="zh-CN"/>
              </w:rPr>
              <w:t>Печінка</w:t>
            </w:r>
            <w:proofErr w:type="spellEnd"/>
          </w:p>
          <w:p w:rsidR="003537D6" w:rsidRPr="0033275B" w:rsidRDefault="003537D6" w:rsidP="000F24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font222"/>
                <w:b/>
                <w:kern w:val="1"/>
                <w:lang w:eastAsia="zh-CN"/>
              </w:rPr>
            </w:pPr>
            <w:proofErr w:type="spellStart"/>
            <w:r w:rsidRPr="0033275B">
              <w:rPr>
                <w:rFonts w:ascii="Times New Roman" w:eastAsia="Calibri" w:hAnsi="Times New Roman" w:cs="font222"/>
                <w:b/>
                <w:bCs/>
                <w:kern w:val="1"/>
                <w:sz w:val="24"/>
                <w:szCs w:val="24"/>
                <w:lang w:eastAsia="zh-CN"/>
              </w:rPr>
              <w:t>яловича</w:t>
            </w:r>
            <w:proofErr w:type="spellEnd"/>
            <w:r w:rsidRPr="0033275B">
              <w:rPr>
                <w:rFonts w:ascii="Times New Roman" w:eastAsia="Calibri" w:hAnsi="Times New Roman" w:cs="font222"/>
                <w:b/>
                <w:bCs/>
                <w:kern w:val="1"/>
                <w:sz w:val="24"/>
                <w:szCs w:val="24"/>
                <w:lang w:eastAsia="zh-CN"/>
              </w:rPr>
              <w:t xml:space="preserve"> с/м</w:t>
            </w:r>
          </w:p>
        </w:tc>
        <w:tc>
          <w:tcPr>
            <w:tcW w:w="4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Якість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товару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повинна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відповідати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встановленим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стандартам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технічним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умовам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іншим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вимогам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які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звичайно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ставляться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до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даного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виду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товару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Печінка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повинна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бути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великими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шматками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обрізки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не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дозволяються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),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свіжоморожена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</w:rPr>
              <w:t>льодяної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</w:rPr>
              <w:t>глазурі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чиста</w:t>
            </w:r>
            <w:proofErr w:type="spellEnd"/>
            <w:proofErr w:type="gram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кров’яних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згустків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зовнішніх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кровоносних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судин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лімфатичних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вузлів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жовчного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міхура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протоками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сторонніх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тканин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залишків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зв’язок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жиру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патологічних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змін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від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світло-коричневого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до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темно-коричневого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кольору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мати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специфічний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характерний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для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доброякісної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печінки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запах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без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стороннього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запаху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мати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ніжну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м’яку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консистенцію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Виготовлено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технологічною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інструкцією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за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дотриманням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ветеринарно-санітарних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правил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відповідає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відповідній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нормативній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документації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(ГОСТ, ДСТУ, ТУ).</w:t>
            </w:r>
          </w:p>
          <w:p w:rsidR="003537D6" w:rsidRPr="00284A2E" w:rsidRDefault="003537D6" w:rsidP="000F24DF">
            <w:pPr>
              <w:spacing w:after="0" w:line="240" w:lineRule="auto"/>
              <w:jc w:val="both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Термін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придатності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від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загального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терміну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зберігання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передбачений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виробником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на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час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поставки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не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менше</w:t>
            </w:r>
            <w:proofErr w:type="spellEnd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>ніж</w:t>
            </w:r>
            <w:proofErr w:type="spellEnd"/>
            <w:r w:rsidRPr="00284A2E">
              <w:rPr>
                <w:rFonts w:ascii="Times New Roman" w:eastAsia="Calibri" w:hAnsi="Times New Roman" w:cs="font222"/>
                <w:kern w:val="1"/>
                <w:sz w:val="24"/>
                <w:szCs w:val="24"/>
                <w:lang w:eastAsia="zh-CN"/>
              </w:rPr>
              <w:t xml:space="preserve"> 80 %.</w:t>
            </w:r>
            <w:r>
              <w:rPr>
                <w:rFonts w:ascii="Times New Roman" w:eastAsia="Calibri" w:hAnsi="Times New Roman" w:cs="font222"/>
                <w:kern w:val="1"/>
                <w:lang w:eastAsia="zh-CN"/>
              </w:rPr>
              <w:t>)</w:t>
            </w: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proofErr w:type="spellStart"/>
            <w:r w:rsidRPr="00284A2E">
              <w:rPr>
                <w:rFonts w:ascii="Times New Roman" w:eastAsia="Calibri" w:hAnsi="Times New Roman" w:cs="font222"/>
                <w:b/>
                <w:bCs/>
                <w:kern w:val="1"/>
                <w:lang w:eastAsia="zh-CN"/>
              </w:rPr>
              <w:t>кг</w:t>
            </w:r>
            <w:proofErr w:type="spellEnd"/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37D6" w:rsidRPr="00284A2E" w:rsidRDefault="003537D6" w:rsidP="000F24DF">
            <w:pPr>
              <w:spacing w:after="0" w:line="240" w:lineRule="auto"/>
              <w:jc w:val="center"/>
              <w:rPr>
                <w:rFonts w:ascii="Times New Roman" w:eastAsia="Calibri" w:hAnsi="Times New Roman" w:cs="font222"/>
                <w:kern w:val="1"/>
                <w:lang w:eastAsia="zh-CN"/>
              </w:rPr>
            </w:pPr>
            <w:r>
              <w:rPr>
                <w:rFonts w:ascii="Times New Roman" w:eastAsia="Calibri" w:hAnsi="Times New Roman" w:cs="font222"/>
                <w:b/>
                <w:bCs/>
                <w:kern w:val="1"/>
                <w:sz w:val="24"/>
                <w:szCs w:val="24"/>
                <w:lang w:eastAsia="zh-CN"/>
              </w:rPr>
              <w:t>443</w:t>
            </w:r>
          </w:p>
        </w:tc>
      </w:tr>
    </w:tbl>
    <w:p w:rsidR="00DB7043" w:rsidRDefault="00DB7043" w:rsidP="00F33C8F">
      <w:pPr>
        <w:pStyle w:val="rvps2"/>
        <w:shd w:val="clear" w:color="auto" w:fill="FFFFFF"/>
        <w:spacing w:after="0" w:afterAutospacing="0" w:line="240" w:lineRule="atLeast"/>
        <w:jc w:val="both"/>
      </w:pPr>
    </w:p>
    <w:sectPr w:rsidR="00DB7043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2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D6"/>
    <w:rsid w:val="003537D6"/>
    <w:rsid w:val="00DB7043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3D1C-184A-4E87-A574-080790DC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D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5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3537D6"/>
  </w:style>
  <w:style w:type="paragraph" w:styleId="a3">
    <w:name w:val="Balloon Text"/>
    <w:basedOn w:val="a"/>
    <w:link w:val="a4"/>
    <w:uiPriority w:val="99"/>
    <w:semiHidden/>
    <w:unhideWhenUsed/>
    <w:rsid w:val="003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2021-02-25T09:34:00Z</cp:lastPrinted>
  <dcterms:created xsi:type="dcterms:W3CDTF">2021-02-25T09:25:00Z</dcterms:created>
  <dcterms:modified xsi:type="dcterms:W3CDTF">2021-02-25T10:04:00Z</dcterms:modified>
</cp:coreProperties>
</file>