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11" w:rsidRDefault="006A5D11" w:rsidP="00362317">
      <w:pPr>
        <w:spacing w:after="0" w:line="240" w:lineRule="auto"/>
        <w:jc w:val="center"/>
        <w:rPr>
          <w:rFonts w:ascii="Times New Roman" w:hAnsi="Times New Roman" w:cs="Times New Roman"/>
          <w:sz w:val="28"/>
          <w:szCs w:val="28"/>
        </w:rPr>
      </w:pPr>
    </w:p>
    <w:p w:rsidR="00362317" w:rsidRPr="00362317" w:rsidRDefault="00362317" w:rsidP="00362317">
      <w:pPr>
        <w:spacing w:after="0" w:line="240" w:lineRule="auto"/>
        <w:jc w:val="center"/>
        <w:rPr>
          <w:rFonts w:ascii="Times New Roman" w:hAnsi="Times New Roman" w:cs="Times New Roman"/>
          <w:sz w:val="28"/>
          <w:szCs w:val="28"/>
        </w:rPr>
      </w:pPr>
      <w:r w:rsidRPr="00362317">
        <w:rPr>
          <w:rFonts w:ascii="Times New Roman" w:hAnsi="Times New Roman" w:cs="Times New Roman"/>
          <w:sz w:val="28"/>
          <w:szCs w:val="28"/>
        </w:rPr>
        <w:t>Обґрунтування</w:t>
      </w:r>
    </w:p>
    <w:p w:rsidR="009D793E" w:rsidRPr="00DC4E97" w:rsidRDefault="00362317" w:rsidP="00362317">
      <w:pPr>
        <w:spacing w:after="0" w:line="240" w:lineRule="auto"/>
        <w:jc w:val="center"/>
        <w:rPr>
          <w:rFonts w:ascii="Times New Roman" w:hAnsi="Times New Roman" w:cs="Times New Roman"/>
          <w:sz w:val="28"/>
          <w:szCs w:val="28"/>
        </w:rPr>
      </w:pPr>
      <w:r w:rsidRPr="00362317">
        <w:rPr>
          <w:rFonts w:ascii="Times New Roman" w:hAnsi="Times New Roman" w:cs="Times New Roman"/>
          <w:sz w:val="28"/>
          <w:szCs w:val="28"/>
        </w:rPr>
        <w:t xml:space="preserve"> щодо </w:t>
      </w:r>
      <w:r w:rsidRPr="00DC4E97">
        <w:rPr>
          <w:rFonts w:ascii="Times New Roman" w:hAnsi="Times New Roman" w:cs="Times New Roman"/>
          <w:sz w:val="28"/>
          <w:szCs w:val="28"/>
        </w:rPr>
        <w:t>проведення процедури закупівлі</w:t>
      </w:r>
      <w:bookmarkStart w:id="0" w:name="_GoBack"/>
      <w:bookmarkEnd w:id="0"/>
      <w:r w:rsidR="00B842DE" w:rsidRPr="00DC4E97">
        <w:rPr>
          <w:rFonts w:ascii="Times New Roman" w:hAnsi="Times New Roman" w:cs="Times New Roman"/>
          <w:sz w:val="28"/>
          <w:szCs w:val="28"/>
        </w:rPr>
        <w:t xml:space="preserve"> </w:t>
      </w:r>
    </w:p>
    <w:p w:rsidR="00362317" w:rsidRPr="00DC4E97" w:rsidRDefault="00B842DE" w:rsidP="00362317">
      <w:pPr>
        <w:spacing w:after="0" w:line="240" w:lineRule="auto"/>
        <w:jc w:val="center"/>
        <w:rPr>
          <w:rFonts w:ascii="Times New Roman" w:hAnsi="Times New Roman" w:cs="Times New Roman"/>
          <w:sz w:val="28"/>
          <w:szCs w:val="28"/>
        </w:rPr>
      </w:pPr>
      <w:r w:rsidRPr="00DC4E97">
        <w:rPr>
          <w:rFonts w:ascii="Times New Roman" w:hAnsi="Times New Roman" w:cs="Times New Roman"/>
          <w:sz w:val="28"/>
          <w:szCs w:val="28"/>
        </w:rPr>
        <w:t>на виконання вимог норм постанови КМУ від 11.10.2020 № 710 із змінами (ПКМУ від 16.12.2020 № 1266).</w:t>
      </w:r>
    </w:p>
    <w:p w:rsidR="002C40E1" w:rsidRDefault="002C40E1" w:rsidP="00362317">
      <w:pPr>
        <w:spacing w:after="0" w:line="240" w:lineRule="auto"/>
        <w:jc w:val="center"/>
        <w:rPr>
          <w:rFonts w:ascii="Times New Roman" w:hAnsi="Times New Roman" w:cs="Times New Roman"/>
          <w:sz w:val="28"/>
          <w:szCs w:val="28"/>
        </w:rPr>
      </w:pPr>
      <w:r w:rsidRPr="002C40E1">
        <w:rPr>
          <w:rFonts w:ascii="Times New Roman" w:hAnsi="Times New Roman" w:cs="Times New Roman"/>
          <w:sz w:val="28"/>
          <w:szCs w:val="28"/>
        </w:rPr>
        <w:t>Централізована охорона майна із спостереженням за станом засобів охоронної сигналізації, що встановлена на об’єктах УДМС України в Херсонській області з реагуванням наряду поліції охорони</w:t>
      </w:r>
    </w:p>
    <w:p w:rsidR="002C40E1" w:rsidRPr="00DC4E97" w:rsidRDefault="002C40E1" w:rsidP="00362317">
      <w:pPr>
        <w:spacing w:after="0" w:line="240" w:lineRule="auto"/>
        <w:jc w:val="center"/>
        <w:rPr>
          <w:rFonts w:ascii="Times New Roman" w:hAnsi="Times New Roman" w:cs="Times New Roman"/>
          <w:sz w:val="28"/>
          <w:szCs w:val="28"/>
        </w:rPr>
      </w:pPr>
    </w:p>
    <w:tbl>
      <w:tblPr>
        <w:tblStyle w:val="a3"/>
        <w:tblW w:w="16302" w:type="dxa"/>
        <w:tblInd w:w="-459" w:type="dxa"/>
        <w:tblLayout w:type="fixed"/>
        <w:tblLook w:val="04A0" w:firstRow="1" w:lastRow="0" w:firstColumn="1" w:lastColumn="0" w:noHBand="0" w:noVBand="1"/>
      </w:tblPr>
      <w:tblGrid>
        <w:gridCol w:w="2020"/>
        <w:gridCol w:w="1423"/>
        <w:gridCol w:w="1219"/>
        <w:gridCol w:w="1516"/>
        <w:gridCol w:w="5729"/>
        <w:gridCol w:w="1701"/>
        <w:gridCol w:w="2694"/>
      </w:tblGrid>
      <w:tr w:rsidR="00D170CE" w:rsidRPr="00DC4E97" w:rsidTr="00BA4A83">
        <w:tc>
          <w:tcPr>
            <w:tcW w:w="2020" w:type="dxa"/>
          </w:tcPr>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 xml:space="preserve">Найменування предмета закупівлі із зазначенням коду </w:t>
            </w:r>
          </w:p>
        </w:tc>
        <w:tc>
          <w:tcPr>
            <w:tcW w:w="1423" w:type="dxa"/>
          </w:tcPr>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 xml:space="preserve">Вид та </w:t>
            </w:r>
            <w:proofErr w:type="spellStart"/>
            <w:r w:rsidRPr="00DC4E97">
              <w:rPr>
                <w:rFonts w:ascii="Times New Roman" w:hAnsi="Times New Roman" w:cs="Times New Roman"/>
                <w:sz w:val="20"/>
                <w:szCs w:val="20"/>
              </w:rPr>
              <w:t>індетифікатор</w:t>
            </w:r>
            <w:proofErr w:type="spellEnd"/>
            <w:r w:rsidRPr="00DC4E97">
              <w:rPr>
                <w:rFonts w:ascii="Times New Roman" w:hAnsi="Times New Roman" w:cs="Times New Roman"/>
                <w:sz w:val="20"/>
                <w:szCs w:val="20"/>
              </w:rPr>
              <w:t xml:space="preserve"> процедури закупівлі</w:t>
            </w:r>
          </w:p>
        </w:tc>
        <w:tc>
          <w:tcPr>
            <w:tcW w:w="1219" w:type="dxa"/>
          </w:tcPr>
          <w:p w:rsidR="000F3231" w:rsidRPr="00DC4E97" w:rsidRDefault="000F3231" w:rsidP="0091243A">
            <w:pPr>
              <w:jc w:val="center"/>
              <w:rPr>
                <w:rFonts w:ascii="Times New Roman" w:hAnsi="Times New Roman" w:cs="Times New Roman"/>
                <w:sz w:val="20"/>
                <w:szCs w:val="20"/>
              </w:rPr>
            </w:pPr>
            <w:r w:rsidRPr="00DC4E97">
              <w:rPr>
                <w:rFonts w:ascii="Times New Roman" w:hAnsi="Times New Roman" w:cs="Times New Roman"/>
                <w:sz w:val="20"/>
                <w:szCs w:val="20"/>
              </w:rPr>
              <w:t>Очікуваний обсяг предмета закупівлі (</w:t>
            </w:r>
            <w:r w:rsidR="0091243A">
              <w:rPr>
                <w:rFonts w:ascii="Times New Roman" w:eastAsia="Calibri" w:hAnsi="Times New Roman" w:cs="Times New Roman"/>
                <w:b/>
                <w:sz w:val="20"/>
                <w:szCs w:val="20"/>
                <w:lang w:eastAsia="uk-UA"/>
              </w:rPr>
              <w:t>послуга</w:t>
            </w:r>
            <w:r w:rsidRPr="00DC4E97">
              <w:rPr>
                <w:rFonts w:ascii="Times New Roman" w:eastAsia="Calibri" w:hAnsi="Times New Roman" w:cs="Times New Roman"/>
                <w:b/>
                <w:sz w:val="20"/>
                <w:szCs w:val="20"/>
                <w:lang w:eastAsia="uk-UA"/>
              </w:rPr>
              <w:t>)</w:t>
            </w:r>
          </w:p>
        </w:tc>
        <w:tc>
          <w:tcPr>
            <w:tcW w:w="1516" w:type="dxa"/>
          </w:tcPr>
          <w:p w:rsidR="000F3231" w:rsidRPr="00DC4E97" w:rsidRDefault="000F3231" w:rsidP="008255E1">
            <w:pPr>
              <w:jc w:val="center"/>
              <w:rPr>
                <w:rFonts w:ascii="Times New Roman" w:hAnsi="Times New Roman" w:cs="Times New Roman"/>
                <w:sz w:val="20"/>
                <w:szCs w:val="20"/>
              </w:rPr>
            </w:pPr>
            <w:r w:rsidRPr="00DC4E97">
              <w:rPr>
                <w:rFonts w:ascii="Times New Roman" w:hAnsi="Times New Roman" w:cs="Times New Roman"/>
                <w:sz w:val="20"/>
                <w:szCs w:val="20"/>
              </w:rPr>
              <w:t>Очікувана вартість предмета закупівлі (</w:t>
            </w:r>
            <w:r w:rsidR="007366A7">
              <w:rPr>
                <w:rFonts w:ascii="Times New Roman" w:hAnsi="Times New Roman" w:cs="Times New Roman"/>
                <w:sz w:val="20"/>
                <w:szCs w:val="20"/>
              </w:rPr>
              <w:t>грн.</w:t>
            </w:r>
            <w:r w:rsidRPr="00DC4E97">
              <w:rPr>
                <w:rFonts w:ascii="Times New Roman" w:hAnsi="Times New Roman" w:cs="Times New Roman"/>
                <w:sz w:val="20"/>
                <w:szCs w:val="20"/>
              </w:rPr>
              <w:t>)</w:t>
            </w:r>
          </w:p>
        </w:tc>
        <w:tc>
          <w:tcPr>
            <w:tcW w:w="5729" w:type="dxa"/>
          </w:tcPr>
          <w:p w:rsidR="00DB59E2"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 xml:space="preserve">Обґрунтування технічних </w:t>
            </w:r>
          </w:p>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 xml:space="preserve">та якісних характеристик предмета закупівлі </w:t>
            </w:r>
          </w:p>
        </w:tc>
        <w:tc>
          <w:tcPr>
            <w:tcW w:w="1701" w:type="dxa"/>
          </w:tcPr>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Обґрунтування розміру бюджетного призначення</w:t>
            </w:r>
          </w:p>
        </w:tc>
        <w:tc>
          <w:tcPr>
            <w:tcW w:w="2694" w:type="dxa"/>
          </w:tcPr>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Обґрунтування очікуваної вартості предмета закупівлі</w:t>
            </w:r>
          </w:p>
        </w:tc>
      </w:tr>
      <w:tr w:rsidR="00D170CE" w:rsidRPr="00BA4A83" w:rsidTr="007366A7">
        <w:tc>
          <w:tcPr>
            <w:tcW w:w="2020" w:type="dxa"/>
          </w:tcPr>
          <w:p w:rsidR="000F3231" w:rsidRDefault="002C40E1" w:rsidP="002C40E1">
            <w:pPr>
              <w:rPr>
                <w:rFonts w:ascii="Times New Roman" w:eastAsia="Times New Roman" w:hAnsi="Times New Roman" w:cs="Times New Roman"/>
                <w:bCs/>
                <w:iCs/>
                <w:sz w:val="24"/>
                <w:szCs w:val="24"/>
                <w:lang w:eastAsia="zh-CN"/>
              </w:rPr>
            </w:pPr>
            <w:r w:rsidRPr="002C40E1">
              <w:rPr>
                <w:rFonts w:ascii="Times New Roman" w:eastAsia="Times New Roman" w:hAnsi="Times New Roman" w:cs="Times New Roman"/>
                <w:bCs/>
                <w:iCs/>
                <w:sz w:val="24"/>
                <w:szCs w:val="24"/>
                <w:lang w:eastAsia="zh-CN"/>
              </w:rPr>
              <w:t>Централізована охорона майна із спостереженням за станом засобів охоронної сигналізації, що встановлена на об’єктах УДМС України в Херсонській області з реагуванням наряду поліції охорони</w:t>
            </w:r>
            <w:r w:rsidR="007366A7" w:rsidRPr="007366A7">
              <w:rPr>
                <w:rFonts w:ascii="Times New Roman" w:eastAsia="Times New Roman" w:hAnsi="Times New Roman" w:cs="Times New Roman"/>
                <w:bCs/>
                <w:iCs/>
                <w:sz w:val="24"/>
                <w:szCs w:val="24"/>
                <w:lang w:eastAsia="zh-CN"/>
              </w:rPr>
              <w:t>, коду ДК 021:2015 – 79710000-4 – «Охоронні послуги»</w:t>
            </w:r>
          </w:p>
          <w:p w:rsidR="002302DB" w:rsidRDefault="002302DB" w:rsidP="002C40E1">
            <w:pPr>
              <w:rPr>
                <w:rFonts w:ascii="Times New Roman" w:eastAsia="Times New Roman" w:hAnsi="Times New Roman" w:cs="Times New Roman"/>
                <w:bCs/>
                <w:iCs/>
                <w:sz w:val="24"/>
                <w:szCs w:val="24"/>
                <w:lang w:eastAsia="zh-CN"/>
              </w:rPr>
            </w:pPr>
          </w:p>
          <w:p w:rsidR="002302DB" w:rsidRPr="00BA4A83" w:rsidRDefault="002302DB" w:rsidP="002302DB">
            <w:pPr>
              <w:rPr>
                <w:rFonts w:ascii="Times New Roman" w:hAnsi="Times New Roman" w:cs="Times New Roman"/>
                <w:sz w:val="24"/>
                <w:szCs w:val="24"/>
              </w:rPr>
            </w:pPr>
          </w:p>
        </w:tc>
        <w:tc>
          <w:tcPr>
            <w:tcW w:w="1423" w:type="dxa"/>
            <w:shd w:val="clear" w:color="auto" w:fill="auto"/>
          </w:tcPr>
          <w:p w:rsidR="000F3231" w:rsidRPr="00BA4A83" w:rsidRDefault="002C40E1" w:rsidP="0091243A">
            <w:pPr>
              <w:rPr>
                <w:rFonts w:ascii="Times New Roman" w:hAnsi="Times New Roman" w:cs="Times New Roman"/>
                <w:sz w:val="24"/>
                <w:szCs w:val="24"/>
              </w:rPr>
            </w:pPr>
            <w:proofErr w:type="spellStart"/>
            <w:r w:rsidRPr="002C40E1">
              <w:rPr>
                <w:rFonts w:ascii="Times New Roman" w:eastAsia="Times New Roman" w:hAnsi="Times New Roman" w:cs="Times New Roman"/>
                <w:bCs/>
                <w:iCs/>
                <w:sz w:val="24"/>
                <w:szCs w:val="24"/>
                <w:lang w:eastAsia="zh-CN"/>
              </w:rPr>
              <w:t>Переговор</w:t>
            </w:r>
            <w:proofErr w:type="spellEnd"/>
            <w:r w:rsidRPr="002C40E1">
              <w:rPr>
                <w:rFonts w:ascii="Times New Roman" w:eastAsia="Times New Roman" w:hAnsi="Times New Roman" w:cs="Times New Roman"/>
                <w:bCs/>
                <w:iCs/>
                <w:sz w:val="24"/>
                <w:szCs w:val="24"/>
                <w:lang w:eastAsia="zh-CN"/>
              </w:rPr>
              <w:t>-на процедураUA-2021-02-01-003086-a</w:t>
            </w:r>
          </w:p>
        </w:tc>
        <w:tc>
          <w:tcPr>
            <w:tcW w:w="1219" w:type="dxa"/>
          </w:tcPr>
          <w:p w:rsidR="000F3231" w:rsidRPr="00BA4A83" w:rsidRDefault="002C40E1" w:rsidP="0036231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0F3231" w:rsidRPr="00BA4A83" w:rsidRDefault="000F3231" w:rsidP="00362317">
            <w:pPr>
              <w:jc w:val="center"/>
              <w:rPr>
                <w:rFonts w:ascii="Times New Roman" w:hAnsi="Times New Roman" w:cs="Times New Roman"/>
                <w:sz w:val="24"/>
                <w:szCs w:val="24"/>
              </w:rPr>
            </w:pPr>
          </w:p>
        </w:tc>
        <w:tc>
          <w:tcPr>
            <w:tcW w:w="1516" w:type="dxa"/>
          </w:tcPr>
          <w:p w:rsidR="000F3231" w:rsidRPr="00BA4A83" w:rsidRDefault="002C40E1" w:rsidP="008255E1">
            <w:pPr>
              <w:jc w:val="center"/>
              <w:rPr>
                <w:rFonts w:ascii="Times New Roman" w:hAnsi="Times New Roman" w:cs="Times New Roman"/>
                <w:sz w:val="24"/>
                <w:szCs w:val="24"/>
              </w:rPr>
            </w:pPr>
            <w:r>
              <w:rPr>
                <w:rFonts w:ascii="Times New Roman" w:hAnsi="Times New Roman" w:cs="Times New Roman"/>
                <w:sz w:val="24"/>
                <w:szCs w:val="24"/>
              </w:rPr>
              <w:t>250 875</w:t>
            </w:r>
            <w:r w:rsidR="0091243A" w:rsidRPr="00BA4A83">
              <w:rPr>
                <w:rFonts w:ascii="Times New Roman" w:hAnsi="Times New Roman" w:cs="Times New Roman"/>
                <w:sz w:val="24"/>
                <w:szCs w:val="24"/>
              </w:rPr>
              <w:t xml:space="preserve">,00 </w:t>
            </w:r>
          </w:p>
        </w:tc>
        <w:tc>
          <w:tcPr>
            <w:tcW w:w="5729" w:type="dxa"/>
          </w:tcPr>
          <w:p w:rsidR="002C40E1" w:rsidRDefault="00B074DF" w:rsidP="00EE6A75">
            <w:pPr>
              <w:widowControl w:val="0"/>
              <w:tabs>
                <w:tab w:val="left" w:pos="588"/>
                <w:tab w:val="left" w:pos="1134"/>
              </w:tabs>
              <w:ind w:firstLine="203"/>
              <w:jc w:val="both"/>
              <w:rPr>
                <w:rFonts w:ascii="Times New Roman" w:eastAsia="Times New Roman" w:hAnsi="Times New Roman" w:cs="Times New Roman"/>
                <w:sz w:val="24"/>
                <w:szCs w:val="24"/>
                <w:lang w:eastAsia="zh-CN"/>
              </w:rPr>
            </w:pPr>
            <w:r w:rsidRPr="00BA4A83">
              <w:rPr>
                <w:rFonts w:ascii="Times New Roman" w:eastAsia="Times New Roman" w:hAnsi="Times New Roman" w:cs="Times New Roman"/>
                <w:sz w:val="24"/>
                <w:szCs w:val="24"/>
                <w:lang w:eastAsia="zh-CN"/>
              </w:rPr>
              <w:t xml:space="preserve">Технічні та якісні характеристики предмета закупівлі </w:t>
            </w:r>
            <w:r w:rsidR="002C40E1">
              <w:rPr>
                <w:rFonts w:ascii="Times New Roman" w:eastAsia="Times New Roman" w:hAnsi="Times New Roman" w:cs="Times New Roman"/>
                <w:sz w:val="24"/>
                <w:szCs w:val="24"/>
                <w:lang w:eastAsia="zh-CN"/>
              </w:rPr>
              <w:t xml:space="preserve">визначено відповідно до потреб </w:t>
            </w:r>
            <w:r w:rsidRPr="00BA4A83">
              <w:rPr>
                <w:rFonts w:ascii="Times New Roman" w:eastAsia="Times New Roman" w:hAnsi="Times New Roman" w:cs="Times New Roman"/>
                <w:sz w:val="24"/>
                <w:szCs w:val="24"/>
                <w:lang w:eastAsia="zh-CN"/>
              </w:rPr>
              <w:t xml:space="preserve">УДМС України в </w:t>
            </w:r>
            <w:r w:rsidR="002C40E1">
              <w:rPr>
                <w:rFonts w:ascii="Times New Roman" w:eastAsia="Times New Roman" w:hAnsi="Times New Roman" w:cs="Times New Roman"/>
                <w:sz w:val="24"/>
                <w:szCs w:val="24"/>
                <w:lang w:eastAsia="zh-CN"/>
              </w:rPr>
              <w:t>Херсонській</w:t>
            </w:r>
            <w:r w:rsidRPr="00BA4A83">
              <w:rPr>
                <w:rFonts w:ascii="Times New Roman" w:eastAsia="Times New Roman" w:hAnsi="Times New Roman" w:cs="Times New Roman"/>
                <w:sz w:val="24"/>
                <w:szCs w:val="24"/>
                <w:lang w:eastAsia="zh-CN"/>
              </w:rPr>
              <w:t xml:space="preserve"> області </w:t>
            </w:r>
            <w:r w:rsidR="00BA4A83" w:rsidRPr="00BA4A83">
              <w:rPr>
                <w:rFonts w:ascii="Times New Roman" w:eastAsia="Times New Roman" w:hAnsi="Times New Roman" w:cs="Times New Roman"/>
                <w:sz w:val="24"/>
                <w:szCs w:val="24"/>
                <w:lang w:eastAsia="zh-CN"/>
              </w:rPr>
              <w:t xml:space="preserve"> </w:t>
            </w:r>
            <w:r w:rsidRPr="00BA4A83">
              <w:rPr>
                <w:rFonts w:ascii="Times New Roman" w:eastAsia="Times New Roman" w:hAnsi="Times New Roman" w:cs="Times New Roman"/>
                <w:sz w:val="24"/>
                <w:szCs w:val="24"/>
                <w:lang w:eastAsia="zh-CN"/>
              </w:rPr>
              <w:t xml:space="preserve">з дотримання норм </w:t>
            </w:r>
            <w:r w:rsidR="00EE6A75">
              <w:rPr>
                <w:rFonts w:ascii="Times New Roman" w:eastAsia="Times New Roman" w:hAnsi="Times New Roman" w:cs="Times New Roman"/>
                <w:sz w:val="24"/>
                <w:szCs w:val="24"/>
                <w:lang w:eastAsia="zh-CN"/>
              </w:rPr>
              <w:t xml:space="preserve">та з урахуванням вимог </w:t>
            </w:r>
            <w:r w:rsidR="00EE6A75" w:rsidRPr="00EE6A75">
              <w:rPr>
                <w:rFonts w:ascii="Times New Roman" w:eastAsia="Times New Roman" w:hAnsi="Times New Roman" w:cs="Times New Roman"/>
                <w:sz w:val="24"/>
                <w:szCs w:val="24"/>
                <w:lang w:eastAsia="zh-CN"/>
              </w:rPr>
              <w:t xml:space="preserve">законодавства України щодо надання послуг. </w:t>
            </w:r>
          </w:p>
          <w:p w:rsidR="002C40E1" w:rsidRDefault="002C40E1" w:rsidP="00EE6A75">
            <w:pPr>
              <w:widowControl w:val="0"/>
              <w:tabs>
                <w:tab w:val="left" w:pos="588"/>
                <w:tab w:val="left" w:pos="1134"/>
              </w:tabs>
              <w:ind w:firstLine="203"/>
              <w:jc w:val="both"/>
              <w:rPr>
                <w:rFonts w:ascii="Times New Roman" w:eastAsia="Times New Roman" w:hAnsi="Times New Roman" w:cs="Times New Roman"/>
                <w:sz w:val="24"/>
                <w:szCs w:val="24"/>
                <w:lang w:eastAsia="zh-CN"/>
              </w:rPr>
            </w:pPr>
            <w:r w:rsidRPr="002C40E1">
              <w:rPr>
                <w:rFonts w:ascii="Times New Roman" w:eastAsia="Times New Roman" w:hAnsi="Times New Roman" w:cs="Times New Roman"/>
                <w:sz w:val="24"/>
                <w:szCs w:val="24"/>
                <w:lang w:eastAsia="zh-CN"/>
              </w:rPr>
              <w:t xml:space="preserve">Відповідно до пункту другого Категорій об’єктів державної форми власності та сфер державного регулювання, які підлягають охороні органами поліції охорони на договірних засадах, затверджених постановою Кабінету Міністрів України від 21 листопада 2018 року № 975, охороні органами поліції охорони на договірних засадах підлягають об’єкти, де розміщуються органи державної влади (за пропозиціями/зверненнями керівництва). Відповідно до пункту першого Положення про Державну міграційну службу України, затвердженого постановою Кабінету Міністрів України від 20 серпня 2014 р. № 360, Державна міграційна служба України (ДМС) є центральним органом виконавчої влади, діяльність якого спрямовується та координується Кабінетом Міністрів України через Міністра внутрішніх справ і який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Відповідно до п.7 Положення, ДМС здійснює свої повноваження безпосередньо і через </w:t>
            </w:r>
            <w:r w:rsidRPr="002C40E1">
              <w:rPr>
                <w:rFonts w:ascii="Times New Roman" w:eastAsia="Times New Roman" w:hAnsi="Times New Roman" w:cs="Times New Roman"/>
                <w:sz w:val="24"/>
                <w:szCs w:val="24"/>
                <w:lang w:eastAsia="zh-CN"/>
              </w:rPr>
              <w:lastRenderedPageBreak/>
              <w:t>утворені в установленому порядку територіальні органи та територіальні підрозділи, у тому числі міжрегіональні. З огляду на викладене, Управління Державної міграційної служби України в Херсонській області, як територіальний орган ДМС та орган державної влади, повинне охоронятися органами поліції охорони. Зважаючи на викладене, для закупівлі послуги спостереження за станом засобів охоронної сигналізації, що встановлена на об’єктах (територіальних підрозділах УДМС України в Херсонській області) з реагуванням наряду поліції охорони «Код 79710000-4 «Охоронні послуги» Основного словника Національного класифікатора України ДК 021:2015 «Єдиний закупівельний словник» УДМС України в Херсонській області зобов’язан</w:t>
            </w:r>
            <w:r w:rsidR="00A045BC">
              <w:rPr>
                <w:rFonts w:ascii="Times New Roman" w:eastAsia="Times New Roman" w:hAnsi="Times New Roman" w:cs="Times New Roman"/>
                <w:sz w:val="24"/>
                <w:szCs w:val="24"/>
                <w:lang w:eastAsia="zh-CN"/>
              </w:rPr>
              <w:t>е</w:t>
            </w:r>
            <w:r w:rsidRPr="002C40E1">
              <w:rPr>
                <w:rFonts w:ascii="Times New Roman" w:eastAsia="Times New Roman" w:hAnsi="Times New Roman" w:cs="Times New Roman"/>
                <w:sz w:val="24"/>
                <w:szCs w:val="24"/>
                <w:lang w:eastAsia="zh-CN"/>
              </w:rPr>
              <w:t xml:space="preserve"> залучити підрозділ Поліції охорони. Всі підрозділи Поліції охорони є пов’язаними особами у розумінні Закону України «Про публічні закупівлі» (далі – Закон), </w:t>
            </w:r>
            <w:r w:rsidR="00A045BC">
              <w:rPr>
                <w:rFonts w:ascii="Times New Roman" w:eastAsia="Times New Roman" w:hAnsi="Times New Roman" w:cs="Times New Roman"/>
                <w:sz w:val="24"/>
                <w:szCs w:val="24"/>
                <w:lang w:eastAsia="zh-CN"/>
              </w:rPr>
              <w:t xml:space="preserve">оскільки </w:t>
            </w:r>
            <w:r w:rsidRPr="002C40E1">
              <w:rPr>
                <w:rFonts w:ascii="Times New Roman" w:eastAsia="Times New Roman" w:hAnsi="Times New Roman" w:cs="Times New Roman"/>
                <w:sz w:val="24"/>
                <w:szCs w:val="24"/>
                <w:lang w:eastAsia="zh-CN"/>
              </w:rPr>
              <w:t xml:space="preserve">мають одного засновника. Зважаючи на викладене, конкурентна процедура закупівлі (за умови її проведення) буде відмінена внаслідок необхідності відхилення тендерних пропозицій, поданих пов’язаними особами. Згідно з положеннями пункту 2 частини другої статті 40 Закону України «Про публічні закупівлі» переговорна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(у разі відсутності конкуренції з технічних причин). З огляду на викладене, здійснити закупівлю послуги спостереження за станом засобів охоронної сигналізації, що встановлена на об’єктах (територіальних підрозділах УДМС України в Херсонській області) з реагуванням наряду поліції охорони, «Код 79710000-4 «Охоронні послуги» Основного словника Національного класифікатора України ДК 021:2015 «Єдиний закупівельний словник» в одного з підрозділів Поліції охорони УДМС зможе виключно шляхом застосування </w:t>
            </w:r>
            <w:r w:rsidRPr="002C40E1">
              <w:rPr>
                <w:rFonts w:ascii="Times New Roman" w:eastAsia="Times New Roman" w:hAnsi="Times New Roman" w:cs="Times New Roman"/>
                <w:sz w:val="24"/>
                <w:szCs w:val="24"/>
                <w:lang w:eastAsia="zh-CN"/>
              </w:rPr>
              <w:lastRenderedPageBreak/>
              <w:t>переговорної процедури закупівлі. Одним із основних видів діяльності Управління поліції охорони в Херсонській області (далі – УПО в Херсонській області) є охорона об’єктів права державної власності у випадках та порядку, визначених законом. УПО в Херсонській області здійснює послуги з охорони, що надаються на договірних засадах у порядку, встановленому законодавчими, підзаконними актами, а також нормативними актами МВС, організаційно-розпорядчими актами Національної поліції та Департаменту поліції охорони. Беручи до уваги зазначене вище, для проведення закупівлі послуги спостереження за станом засобів охоронної сигналізації, що встановлена на об’єктах (територіальних підрозділах УДМС України в Херсонській області) з реагуванням наряду поліції охорони за кодом ДК 021:2015 - 79710000-4 «Охоронні послуги», необхідно застосувати переговорну процедуру закупівлі на підставі п.2. ч.2 статті 40 Закону України «Про публічні закупівлі», а саме «відсутності конкуренції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 Уповноважена особа УДМС має право застосувати переговорну процедуру закупівлі за кодом ДК 021:2015 - 79710000-4 «Охоронні послуги»</w:t>
            </w:r>
          </w:p>
          <w:p w:rsidR="002C40E1" w:rsidRPr="00BA4A83" w:rsidRDefault="002C40E1" w:rsidP="00EE6A75">
            <w:pPr>
              <w:widowControl w:val="0"/>
              <w:tabs>
                <w:tab w:val="left" w:pos="588"/>
                <w:tab w:val="left" w:pos="1134"/>
              </w:tabs>
              <w:ind w:firstLine="203"/>
              <w:jc w:val="both"/>
              <w:rPr>
                <w:rFonts w:ascii="Times New Roman" w:eastAsia="Times New Roman" w:hAnsi="Times New Roman" w:cs="Times New Roman"/>
                <w:sz w:val="24"/>
                <w:szCs w:val="24"/>
                <w:lang w:eastAsia="zh-CN"/>
              </w:rPr>
            </w:pPr>
          </w:p>
        </w:tc>
        <w:tc>
          <w:tcPr>
            <w:tcW w:w="1701" w:type="dxa"/>
          </w:tcPr>
          <w:p w:rsidR="000F3231" w:rsidRPr="00BA4A83" w:rsidRDefault="000F3231" w:rsidP="00362317">
            <w:pPr>
              <w:jc w:val="center"/>
              <w:rPr>
                <w:rFonts w:ascii="Times New Roman" w:hAnsi="Times New Roman" w:cs="Times New Roman"/>
                <w:sz w:val="24"/>
                <w:szCs w:val="24"/>
              </w:rPr>
            </w:pPr>
            <w:r w:rsidRPr="00BA4A83">
              <w:rPr>
                <w:rFonts w:ascii="Times New Roman" w:hAnsi="Times New Roman" w:cs="Times New Roman"/>
                <w:sz w:val="24"/>
                <w:szCs w:val="24"/>
              </w:rPr>
              <w:lastRenderedPageBreak/>
              <w:t>відповідає затвердженому кошторису</w:t>
            </w:r>
          </w:p>
        </w:tc>
        <w:tc>
          <w:tcPr>
            <w:tcW w:w="2694" w:type="dxa"/>
          </w:tcPr>
          <w:p w:rsidR="0034180B" w:rsidRPr="00BA4A83" w:rsidRDefault="0034180B" w:rsidP="00194441">
            <w:pPr>
              <w:rPr>
                <w:rFonts w:ascii="Times New Roman" w:hAnsi="Times New Roman" w:cs="Times New Roman"/>
                <w:sz w:val="24"/>
                <w:szCs w:val="24"/>
              </w:rPr>
            </w:pPr>
            <w:r w:rsidRPr="0034180B">
              <w:rPr>
                <w:rFonts w:ascii="Times New Roman" w:hAnsi="Times New Roman" w:cs="Times New Roman"/>
                <w:sz w:val="24"/>
                <w:szCs w:val="24"/>
              </w:rPr>
              <w:t xml:space="preserve">Розрахунок вартості послуг з централізованої охорони майна </w:t>
            </w:r>
            <w:r>
              <w:rPr>
                <w:rFonts w:ascii="Times New Roman" w:hAnsi="Times New Roman" w:cs="Times New Roman"/>
                <w:sz w:val="24"/>
                <w:szCs w:val="24"/>
              </w:rPr>
              <w:t>із спостереженням за станом засобів охоронної сигналізації,  що встановлена на об’єктах УДМС України в Херсонській області</w:t>
            </w:r>
            <w:r w:rsidRPr="0034180B">
              <w:rPr>
                <w:rFonts w:ascii="Times New Roman" w:hAnsi="Times New Roman" w:cs="Times New Roman"/>
                <w:sz w:val="24"/>
                <w:szCs w:val="24"/>
              </w:rPr>
              <w:t xml:space="preserve"> з реагуванням наряду поліції охорони у 2021 році проведений </w:t>
            </w:r>
            <w:r w:rsidRPr="00627D09">
              <w:rPr>
                <w:rFonts w:ascii="Times New Roman" w:hAnsi="Times New Roman" w:cs="Times New Roman"/>
                <w:sz w:val="24"/>
                <w:szCs w:val="24"/>
              </w:rPr>
              <w:t>відповідно до спільного наказу МВС України та Міністерства економіки України №171/51 «Про затвердження методики визначення розмірів цін на послуги з охорони об’єктів» від 02.03.2001 (зареєстрований в Міністерстві юстиції України за №346/5537 від 12.04.2001) та підтверджений</w:t>
            </w:r>
            <w:r w:rsidRPr="0034180B">
              <w:rPr>
                <w:rFonts w:ascii="Times New Roman" w:hAnsi="Times New Roman" w:cs="Times New Roman"/>
                <w:sz w:val="24"/>
                <w:szCs w:val="24"/>
              </w:rPr>
              <w:t xml:space="preserve"> розрахунками вартості, які проведені </w:t>
            </w:r>
            <w:r w:rsidRPr="0034180B">
              <w:rPr>
                <w:rFonts w:ascii="Times New Roman" w:hAnsi="Times New Roman" w:cs="Times New Roman"/>
                <w:sz w:val="24"/>
                <w:szCs w:val="24"/>
              </w:rPr>
              <w:lastRenderedPageBreak/>
              <w:t xml:space="preserve">Управлінням поліції охорони в </w:t>
            </w:r>
            <w:r w:rsidR="00194441">
              <w:rPr>
                <w:rFonts w:ascii="Times New Roman" w:hAnsi="Times New Roman" w:cs="Times New Roman"/>
                <w:sz w:val="24"/>
                <w:szCs w:val="24"/>
              </w:rPr>
              <w:t>Херсонській о</w:t>
            </w:r>
            <w:r w:rsidRPr="0034180B">
              <w:rPr>
                <w:rFonts w:ascii="Times New Roman" w:hAnsi="Times New Roman" w:cs="Times New Roman"/>
                <w:sz w:val="24"/>
                <w:szCs w:val="24"/>
              </w:rPr>
              <w:t xml:space="preserve">бласті </w:t>
            </w:r>
          </w:p>
        </w:tc>
      </w:tr>
    </w:tbl>
    <w:p w:rsidR="00362317" w:rsidRPr="00362317" w:rsidRDefault="00362317" w:rsidP="00362317">
      <w:pPr>
        <w:spacing w:after="0" w:line="240" w:lineRule="auto"/>
        <w:jc w:val="center"/>
        <w:rPr>
          <w:rFonts w:ascii="Times New Roman" w:hAnsi="Times New Roman" w:cs="Times New Roman"/>
          <w:sz w:val="28"/>
          <w:szCs w:val="28"/>
        </w:rPr>
      </w:pPr>
    </w:p>
    <w:sectPr w:rsidR="00362317" w:rsidRPr="00362317" w:rsidSect="00B54442">
      <w:pgSz w:w="16838" w:h="11906" w:orient="landscape"/>
      <w:pgMar w:top="142"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7"/>
    <w:lvl w:ilvl="0">
      <w:numFmt w:val="bullet"/>
      <w:lvlText w:val="-"/>
      <w:lvlJc w:val="left"/>
      <w:pPr>
        <w:tabs>
          <w:tab w:val="num" w:pos="0"/>
        </w:tabs>
        <w:ind w:left="720" w:hanging="360"/>
      </w:pPr>
      <w:rPr>
        <w:rFonts w:ascii="Times New Roman" w:hAnsi="Times New Roman" w:cs="Times New Roman" w:hint="default"/>
        <w:sz w:val="24"/>
        <w:szCs w:val="24"/>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EA"/>
    <w:rsid w:val="000034F5"/>
    <w:rsid w:val="00061DBF"/>
    <w:rsid w:val="000B5475"/>
    <w:rsid w:val="000D54E9"/>
    <w:rsid w:val="000F3231"/>
    <w:rsid w:val="00194441"/>
    <w:rsid w:val="002302DB"/>
    <w:rsid w:val="0027287B"/>
    <w:rsid w:val="002C40E1"/>
    <w:rsid w:val="0034180B"/>
    <w:rsid w:val="00362317"/>
    <w:rsid w:val="004E0B2E"/>
    <w:rsid w:val="005920BA"/>
    <w:rsid w:val="00627D09"/>
    <w:rsid w:val="006A5D11"/>
    <w:rsid w:val="007366A7"/>
    <w:rsid w:val="00770EEA"/>
    <w:rsid w:val="0091243A"/>
    <w:rsid w:val="009651D9"/>
    <w:rsid w:val="009D793E"/>
    <w:rsid w:val="00A045BC"/>
    <w:rsid w:val="00A720A9"/>
    <w:rsid w:val="00B074DF"/>
    <w:rsid w:val="00B54442"/>
    <w:rsid w:val="00B54FDF"/>
    <w:rsid w:val="00B842DE"/>
    <w:rsid w:val="00BA4A83"/>
    <w:rsid w:val="00C06CAE"/>
    <w:rsid w:val="00C3166D"/>
    <w:rsid w:val="00C8157B"/>
    <w:rsid w:val="00D170CE"/>
    <w:rsid w:val="00D662B2"/>
    <w:rsid w:val="00DB59E2"/>
    <w:rsid w:val="00DC4E97"/>
    <w:rsid w:val="00E14EB3"/>
    <w:rsid w:val="00EE6A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7C666-1660-4197-B834-2587E60F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70CE"/>
    <w:pPr>
      <w:ind w:left="720"/>
      <w:contextualSpacing/>
    </w:pPr>
  </w:style>
  <w:style w:type="paragraph" w:styleId="a5">
    <w:name w:val="Balloon Text"/>
    <w:basedOn w:val="a"/>
    <w:link w:val="a6"/>
    <w:uiPriority w:val="99"/>
    <w:semiHidden/>
    <w:unhideWhenUsed/>
    <w:rsid w:val="002728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72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03967">
      <w:bodyDiv w:val="1"/>
      <w:marLeft w:val="0"/>
      <w:marRight w:val="0"/>
      <w:marTop w:val="0"/>
      <w:marBottom w:val="0"/>
      <w:divBdr>
        <w:top w:val="none" w:sz="0" w:space="0" w:color="auto"/>
        <w:left w:val="none" w:sz="0" w:space="0" w:color="auto"/>
        <w:bottom w:val="none" w:sz="0" w:space="0" w:color="auto"/>
        <w:right w:val="none" w:sz="0" w:space="0" w:color="auto"/>
      </w:divBdr>
    </w:div>
    <w:div w:id="597370044">
      <w:bodyDiv w:val="1"/>
      <w:marLeft w:val="0"/>
      <w:marRight w:val="0"/>
      <w:marTop w:val="0"/>
      <w:marBottom w:val="0"/>
      <w:divBdr>
        <w:top w:val="none" w:sz="0" w:space="0" w:color="auto"/>
        <w:left w:val="none" w:sz="0" w:space="0" w:color="auto"/>
        <w:bottom w:val="none" w:sz="0" w:space="0" w:color="auto"/>
        <w:right w:val="none" w:sz="0" w:space="0" w:color="auto"/>
      </w:divBdr>
    </w:div>
    <w:div w:id="1188526778">
      <w:bodyDiv w:val="1"/>
      <w:marLeft w:val="0"/>
      <w:marRight w:val="0"/>
      <w:marTop w:val="0"/>
      <w:marBottom w:val="0"/>
      <w:divBdr>
        <w:top w:val="none" w:sz="0" w:space="0" w:color="auto"/>
        <w:left w:val="none" w:sz="0" w:space="0" w:color="auto"/>
        <w:bottom w:val="none" w:sz="0" w:space="0" w:color="auto"/>
        <w:right w:val="none" w:sz="0" w:space="0" w:color="auto"/>
      </w:divBdr>
    </w:div>
    <w:div w:id="20891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907</Words>
  <Characters>5175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Афтанащук Олена Генадіївна</cp:lastModifiedBy>
  <cp:revision>8</cp:revision>
  <cp:lastPrinted>2021-03-16T14:33:00Z</cp:lastPrinted>
  <dcterms:created xsi:type="dcterms:W3CDTF">2021-03-16T15:37:00Z</dcterms:created>
  <dcterms:modified xsi:type="dcterms:W3CDTF">2021-03-19T06:38:00Z</dcterms:modified>
</cp:coreProperties>
</file>