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8551A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bookmarkStart w:id="0" w:name="_GoBack"/>
            <w:bookmarkEnd w:id="0"/>
            <w:r w:rsidR="00534335" w:rsidRPr="00DA6ED1">
              <w:rPr>
                <w:rFonts w:ascii="Times New Roman" w:hAnsi="Times New Roman" w:cs="Times New Roman"/>
              </w:rPr>
              <w:t>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884059" w:rsidRDefault="008551A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995A13" w:rsidRPr="00995A13" w:rsidRDefault="008551A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10" w:tgtFrame="_blank" w:tooltip="Оголошення на порталі Уповноваженого органу" w:history="1">
              <w:r w:rsidR="00995A13" w:rsidRPr="00995A13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Pr="008551A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UA-2021-11-30-007930-c</w:t>
              </w:r>
            </w:hyperlink>
          </w:p>
          <w:p w:rsidR="00884059" w:rsidRPr="00884059" w:rsidRDefault="0088405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</w:p>
          <w:p w:rsidR="009728E9" w:rsidRPr="00DA6ED1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DA6ED1" w:rsidRDefault="00995A13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69600,00</w:t>
            </w:r>
          </w:p>
        </w:tc>
        <w:tc>
          <w:tcPr>
            <w:tcW w:w="8930" w:type="dxa"/>
            <w:vAlign w:val="center"/>
          </w:tcPr>
          <w:p w:rsidR="00995A13" w:rsidRPr="00995A13" w:rsidRDefault="00995A13" w:rsidP="00995A13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995A13">
              <w:rPr>
                <w:rFonts w:ascii="Times New Roman" w:hAnsi="Times New Roman" w:cs="Times New Roman"/>
              </w:rPr>
              <w:t xml:space="preserve">напругою 380/220В </w:t>
            </w: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995A13" w:rsidRPr="00995A13" w:rsidRDefault="00995A13" w:rsidP="00995A13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07400, м. Бровари, бульвар Незалежності,3, протягом </w:t>
            </w:r>
            <w:r w:rsidRPr="00995A13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   </w:t>
            </w:r>
            <w:r w:rsidRPr="00995A13">
              <w:rPr>
                <w:rFonts w:ascii="Times New Roman" w:hAnsi="Times New Roman" w:cs="Times New Roman"/>
                <w:lang w:val="ru-RU" w:eastAsia="uk-UA"/>
              </w:rPr>
              <w:t xml:space="preserve">12 000 </w:t>
            </w:r>
            <w:r w:rsidRPr="00995A13">
              <w:rPr>
                <w:rFonts w:ascii="Times New Roman" w:hAnsi="Times New Roman" w:cs="Times New Roman"/>
                <w:lang w:eastAsia="uk-UA"/>
              </w:rPr>
              <w:t>кВт/год</w:t>
            </w:r>
            <w:r w:rsidRPr="00995A13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995A13" w:rsidRDefault="00995A13" w:rsidP="00995A13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995A13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995A13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995A13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995A13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1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D1" w:rsidRDefault="006176D1" w:rsidP="00606AD4">
      <w:pPr>
        <w:spacing w:after="0" w:line="240" w:lineRule="auto"/>
      </w:pPr>
      <w:r>
        <w:separator/>
      </w:r>
    </w:p>
  </w:endnote>
  <w:endnote w:type="continuationSeparator" w:id="0">
    <w:p w:rsidR="006176D1" w:rsidRDefault="006176D1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D1" w:rsidRDefault="006176D1" w:rsidP="00606AD4">
      <w:pPr>
        <w:spacing w:after="0" w:line="240" w:lineRule="auto"/>
      </w:pPr>
      <w:r>
        <w:separator/>
      </w:r>
    </w:p>
  </w:footnote>
  <w:footnote w:type="continuationSeparator" w:id="0">
    <w:p w:rsidR="006176D1" w:rsidRDefault="006176D1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176D1"/>
    <w:rsid w:val="006218F9"/>
    <w:rsid w:val="006E761D"/>
    <w:rsid w:val="0070403D"/>
    <w:rsid w:val="007D129C"/>
    <w:rsid w:val="007E745E"/>
    <w:rsid w:val="007F27E5"/>
    <w:rsid w:val="00820D75"/>
    <w:rsid w:val="0082708A"/>
    <w:rsid w:val="00827E6D"/>
    <w:rsid w:val="008551A9"/>
    <w:rsid w:val="0085600B"/>
    <w:rsid w:val="00863347"/>
    <w:rsid w:val="00874AAC"/>
    <w:rsid w:val="00884059"/>
    <w:rsid w:val="00891DA7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zorro.gov.ua/tender/UA-2021-11-11-005975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1-11-11-00099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484E-C7B2-4C62-B38C-EE8B2DBA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Hewlett-Packard Company</cp:lastModifiedBy>
  <cp:revision>4</cp:revision>
  <cp:lastPrinted>2021-03-03T11:49:00Z</cp:lastPrinted>
  <dcterms:created xsi:type="dcterms:W3CDTF">2021-11-12T09:12:00Z</dcterms:created>
  <dcterms:modified xsi:type="dcterms:W3CDTF">2021-12-02T13:17:00Z</dcterms:modified>
</cp:coreProperties>
</file>