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C420068" w14:textId="73DFED7C" w:rsidR="0070534F" w:rsidRPr="0070534F" w:rsidRDefault="00D35A9F" w:rsidP="0070534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B68AD" w:rsidRPr="009A78AF">
        <w:rPr>
          <w:i/>
          <w:sz w:val="20"/>
          <w:szCs w:val="20"/>
          <w:lang w:val="uk-UA"/>
        </w:rPr>
        <w:t xml:space="preserve">ДК 021:2015:09120000-6-Газове паливо (природний газ, </w:t>
      </w:r>
      <w:r w:rsidR="00906DB7">
        <w:rPr>
          <w:i/>
          <w:sz w:val="20"/>
          <w:szCs w:val="20"/>
          <w:lang w:val="uk-UA"/>
        </w:rPr>
        <w:t xml:space="preserve"> відповідний номенклатурний код за </w:t>
      </w:r>
      <w:r w:rsidR="006B68AD" w:rsidRPr="009A78AF">
        <w:rPr>
          <w:i/>
          <w:sz w:val="20"/>
          <w:szCs w:val="20"/>
          <w:lang w:val="uk-UA"/>
        </w:rPr>
        <w:t>ДК 021:2015:09123000-7-«Природний газ»).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776173A1" w:rsidR="00D35A9F" w:rsidRPr="00C73F98" w:rsidRDefault="00D35A9F" w:rsidP="00794723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794723" w:rsidRPr="00794723">
        <w:rPr>
          <w:b/>
          <w:i/>
          <w:sz w:val="20"/>
          <w:szCs w:val="20"/>
          <w:lang w:val="uk-UA"/>
        </w:rPr>
        <w:t>UA-2021-08-30-004726-a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45AE3C9D" w14:textId="234471DB" w:rsidR="0070534F" w:rsidRPr="0070534F" w:rsidRDefault="00D35A9F" w:rsidP="0070534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>кументів у сфері постачання природного газу.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28214FA0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Якість Товару, який передається Постачальником Споживачу в пунктах призначення, має відповідати вимогам ГОСТ 5542-87 «</w:t>
      </w:r>
      <w:proofErr w:type="spellStart"/>
      <w:r w:rsidRPr="0070534F">
        <w:rPr>
          <w:i/>
          <w:sz w:val="20"/>
          <w:szCs w:val="20"/>
          <w:lang w:val="uk-UA"/>
        </w:rPr>
        <w:t>Газы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горючие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природные</w:t>
      </w:r>
      <w:proofErr w:type="spellEnd"/>
      <w:r w:rsidRPr="0070534F">
        <w:rPr>
          <w:i/>
          <w:sz w:val="20"/>
          <w:szCs w:val="20"/>
          <w:lang w:val="uk-UA"/>
        </w:rPr>
        <w:t xml:space="preserve"> для </w:t>
      </w:r>
      <w:proofErr w:type="spellStart"/>
      <w:r w:rsidRPr="0070534F">
        <w:rPr>
          <w:i/>
          <w:sz w:val="20"/>
          <w:szCs w:val="20"/>
          <w:lang w:val="uk-UA"/>
        </w:rPr>
        <w:t>промышленного</w:t>
      </w:r>
      <w:proofErr w:type="spellEnd"/>
      <w:r w:rsidRPr="0070534F">
        <w:rPr>
          <w:i/>
          <w:sz w:val="20"/>
          <w:szCs w:val="20"/>
          <w:lang w:val="uk-UA"/>
        </w:rPr>
        <w:t xml:space="preserve"> и </w:t>
      </w:r>
      <w:proofErr w:type="spellStart"/>
      <w:r w:rsidRPr="0070534F">
        <w:rPr>
          <w:i/>
          <w:sz w:val="20"/>
          <w:szCs w:val="20"/>
          <w:lang w:val="uk-UA"/>
        </w:rPr>
        <w:t>коммунально-бытового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назначения</w:t>
      </w:r>
      <w:proofErr w:type="spellEnd"/>
      <w:r w:rsidRPr="0070534F">
        <w:rPr>
          <w:i/>
          <w:sz w:val="20"/>
          <w:szCs w:val="20"/>
          <w:lang w:val="uk-UA"/>
        </w:rPr>
        <w:t xml:space="preserve">. </w:t>
      </w:r>
      <w:proofErr w:type="spellStart"/>
      <w:r w:rsidRPr="0070534F">
        <w:rPr>
          <w:i/>
          <w:sz w:val="20"/>
          <w:szCs w:val="20"/>
          <w:lang w:val="uk-UA"/>
        </w:rPr>
        <w:t>Технические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условия</w:t>
      </w:r>
      <w:proofErr w:type="spellEnd"/>
      <w:r w:rsidRPr="0070534F">
        <w:rPr>
          <w:i/>
          <w:sz w:val="20"/>
          <w:szCs w:val="20"/>
          <w:lang w:val="uk-UA"/>
        </w:rPr>
        <w:t>».</w:t>
      </w:r>
    </w:p>
    <w:p w14:paraId="20F86BFE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7553B1F5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70534F" w:rsidRPr="0070534F" w14:paraId="64EB5FC5" w14:textId="77777777" w:rsidTr="0070534F">
        <w:tc>
          <w:tcPr>
            <w:tcW w:w="5670" w:type="dxa"/>
          </w:tcPr>
          <w:p w14:paraId="6874F8E5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Наменування</w:t>
            </w:r>
            <w:proofErr w:type="spellEnd"/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 xml:space="preserve"> показників</w:t>
            </w:r>
          </w:p>
        </w:tc>
        <w:tc>
          <w:tcPr>
            <w:tcW w:w="3260" w:type="dxa"/>
          </w:tcPr>
          <w:p w14:paraId="6A7D5323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Норма</w:t>
            </w:r>
          </w:p>
        </w:tc>
      </w:tr>
      <w:tr w:rsidR="0070534F" w:rsidRPr="0070534F" w14:paraId="2CA52091" w14:textId="77777777" w:rsidTr="0070534F">
        <w:tc>
          <w:tcPr>
            <w:tcW w:w="5670" w:type="dxa"/>
          </w:tcPr>
          <w:p w14:paraId="34C604A6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1.Теплота згоряння нижча,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МДж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кПА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, при </w:t>
            </w:r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20° C</w:t>
            </w: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101,325 к Па, не менше</w:t>
            </w:r>
          </w:p>
        </w:tc>
        <w:tc>
          <w:tcPr>
            <w:tcW w:w="3260" w:type="dxa"/>
          </w:tcPr>
          <w:p w14:paraId="2BAD265A" w14:textId="0ECF5F06" w:rsidR="0070534F" w:rsidRPr="0070534F" w:rsidRDefault="0070534F" w:rsidP="00794723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31,8 (7600)</w:t>
            </w:r>
          </w:p>
        </w:tc>
      </w:tr>
      <w:tr w:rsidR="0070534F" w:rsidRPr="0070534F" w14:paraId="14105F88" w14:textId="77777777" w:rsidTr="0070534F">
        <w:tc>
          <w:tcPr>
            <w:tcW w:w="5670" w:type="dxa"/>
          </w:tcPr>
          <w:p w14:paraId="55DF144B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2.Область значень числа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Воббе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(вищого),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МДж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 (ккал/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.)</w:t>
            </w:r>
          </w:p>
        </w:tc>
        <w:tc>
          <w:tcPr>
            <w:tcW w:w="3260" w:type="dxa"/>
          </w:tcPr>
          <w:p w14:paraId="709DE72A" w14:textId="77C6559D" w:rsidR="00794723" w:rsidRDefault="00794723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uk-UA" w:eastAsia="en-US"/>
              </w:rPr>
              <w:t>41,2-54,5</w:t>
            </w:r>
          </w:p>
          <w:p w14:paraId="6A1A753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9850-13000</w:t>
            </w:r>
          </w:p>
        </w:tc>
      </w:tr>
      <w:tr w:rsidR="0070534F" w:rsidRPr="0070534F" w14:paraId="61842170" w14:textId="77777777" w:rsidTr="0070534F">
        <w:tc>
          <w:tcPr>
            <w:tcW w:w="5670" w:type="dxa"/>
          </w:tcPr>
          <w:p w14:paraId="532DAAFD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3.Масова концентрація сірководню, г/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., не більше</w:t>
            </w:r>
          </w:p>
        </w:tc>
        <w:tc>
          <w:tcPr>
            <w:tcW w:w="3260" w:type="dxa"/>
          </w:tcPr>
          <w:p w14:paraId="1A0589C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0,02</w:t>
            </w:r>
          </w:p>
        </w:tc>
      </w:tr>
      <w:tr w:rsidR="0070534F" w:rsidRPr="0070534F" w14:paraId="15942E60" w14:textId="77777777" w:rsidTr="0070534F">
        <w:tc>
          <w:tcPr>
            <w:tcW w:w="5670" w:type="dxa"/>
          </w:tcPr>
          <w:p w14:paraId="2503A6B9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4.Масова концентрація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меркаптанової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сірки, г/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., не більше</w:t>
            </w:r>
          </w:p>
        </w:tc>
        <w:tc>
          <w:tcPr>
            <w:tcW w:w="3260" w:type="dxa"/>
          </w:tcPr>
          <w:p w14:paraId="181FC34D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0,036</w:t>
            </w:r>
          </w:p>
        </w:tc>
      </w:tr>
      <w:tr w:rsidR="0070534F" w:rsidRPr="0070534F" w14:paraId="25F8E015" w14:textId="77777777" w:rsidTr="0070534F">
        <w:tc>
          <w:tcPr>
            <w:tcW w:w="5670" w:type="dxa"/>
          </w:tcPr>
          <w:p w14:paraId="70C3E4B3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5.Об’ємна частка кисню, %, не більше</w:t>
            </w:r>
          </w:p>
        </w:tc>
        <w:tc>
          <w:tcPr>
            <w:tcW w:w="3260" w:type="dxa"/>
          </w:tcPr>
          <w:p w14:paraId="2629A057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1,0</w:t>
            </w:r>
          </w:p>
        </w:tc>
      </w:tr>
      <w:tr w:rsidR="0070534F" w:rsidRPr="0070534F" w14:paraId="38FD7D1F" w14:textId="77777777" w:rsidTr="0070534F">
        <w:tc>
          <w:tcPr>
            <w:tcW w:w="5670" w:type="dxa"/>
          </w:tcPr>
          <w:p w14:paraId="57B93B20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6.Маса механічних домі шків у 1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м.куб.г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, не більше</w:t>
            </w:r>
          </w:p>
        </w:tc>
        <w:tc>
          <w:tcPr>
            <w:tcW w:w="3260" w:type="dxa"/>
          </w:tcPr>
          <w:p w14:paraId="781E2EF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0,001</w:t>
            </w:r>
          </w:p>
        </w:tc>
      </w:tr>
      <w:tr w:rsidR="0070534F" w:rsidRPr="0070534F" w14:paraId="67E8B59F" w14:textId="77777777" w:rsidTr="0070534F">
        <w:tc>
          <w:tcPr>
            <w:tcW w:w="5670" w:type="dxa"/>
          </w:tcPr>
          <w:p w14:paraId="6FB5E699" w14:textId="77777777" w:rsidR="0070534F" w:rsidRPr="0070534F" w:rsidRDefault="0070534F" w:rsidP="0070534F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7.</w:t>
            </w:r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Інтенсивність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запаху при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об’ємній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частці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1% в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пові</w:t>
            </w:r>
            <w:proofErr w:type="gram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тр</w:t>
            </w:r>
            <w:proofErr w:type="gram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і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, бал, не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менше</w:t>
            </w:r>
            <w:proofErr w:type="spellEnd"/>
          </w:p>
        </w:tc>
        <w:tc>
          <w:tcPr>
            <w:tcW w:w="3260" w:type="dxa"/>
          </w:tcPr>
          <w:p w14:paraId="305C81B4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</w:t>
            </w:r>
          </w:p>
        </w:tc>
      </w:tr>
    </w:tbl>
    <w:p w14:paraId="1A0BCB36" w14:textId="77777777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proofErr w:type="spellStart"/>
      <w:r w:rsidRPr="0070534F">
        <w:rPr>
          <w:i/>
          <w:sz w:val="20"/>
          <w:szCs w:val="20"/>
        </w:rPr>
        <w:t>Параметри</w:t>
      </w:r>
      <w:proofErr w:type="spellEnd"/>
      <w:r w:rsidRPr="0070534F">
        <w:rPr>
          <w:i/>
          <w:sz w:val="20"/>
          <w:szCs w:val="20"/>
        </w:rPr>
        <w:t xml:space="preserve"> природного газу, </w:t>
      </w:r>
      <w:proofErr w:type="spellStart"/>
      <w:r w:rsidRPr="0070534F">
        <w:rPr>
          <w:i/>
          <w:sz w:val="20"/>
          <w:szCs w:val="20"/>
        </w:rPr>
        <w:t>який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Постачальник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зобов’язується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поставити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Споживачу</w:t>
      </w:r>
      <w:proofErr w:type="spellEnd"/>
      <w:r w:rsidRPr="0070534F">
        <w:rPr>
          <w:i/>
          <w:sz w:val="20"/>
          <w:szCs w:val="20"/>
        </w:rPr>
        <w:t xml:space="preserve">, </w:t>
      </w:r>
      <w:proofErr w:type="spellStart"/>
      <w:r w:rsidRPr="0070534F">
        <w:rPr>
          <w:i/>
          <w:sz w:val="20"/>
          <w:szCs w:val="20"/>
        </w:rPr>
        <w:t>повинні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відповідати</w:t>
      </w:r>
      <w:proofErr w:type="spellEnd"/>
      <w:r w:rsidRPr="0070534F">
        <w:rPr>
          <w:i/>
          <w:sz w:val="20"/>
          <w:szCs w:val="20"/>
        </w:rPr>
        <w:t xml:space="preserve"> параметрам основного потоку в </w:t>
      </w:r>
      <w:proofErr w:type="spellStart"/>
      <w:r w:rsidRPr="0070534F">
        <w:rPr>
          <w:i/>
          <w:sz w:val="20"/>
          <w:szCs w:val="20"/>
        </w:rPr>
        <w:t>газотранспортній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системі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>.</w:t>
      </w:r>
    </w:p>
    <w:p w14:paraId="517F84D9" w14:textId="3E56D8DC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proofErr w:type="spellStart"/>
      <w:r w:rsidRPr="0070534F">
        <w:rPr>
          <w:i/>
          <w:sz w:val="20"/>
          <w:szCs w:val="20"/>
        </w:rPr>
        <w:t>Умови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постачання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 </w:t>
      </w:r>
      <w:proofErr w:type="spellStart"/>
      <w:r w:rsidRPr="0070534F">
        <w:rPr>
          <w:i/>
          <w:sz w:val="20"/>
          <w:szCs w:val="20"/>
        </w:rPr>
        <w:t>Споживачу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повинні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відповідати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наступним</w:t>
      </w:r>
      <w:proofErr w:type="spellEnd"/>
      <w:r w:rsidRPr="0070534F">
        <w:rPr>
          <w:i/>
          <w:sz w:val="20"/>
          <w:szCs w:val="20"/>
        </w:rPr>
        <w:t xml:space="preserve"> нормативно-</w:t>
      </w:r>
      <w:proofErr w:type="spellStart"/>
      <w:r w:rsidRPr="0070534F">
        <w:rPr>
          <w:i/>
          <w:sz w:val="20"/>
          <w:szCs w:val="20"/>
        </w:rPr>
        <w:t>правовим</w:t>
      </w:r>
      <w:proofErr w:type="spellEnd"/>
      <w:r w:rsidRPr="0070534F">
        <w:rPr>
          <w:i/>
          <w:sz w:val="20"/>
          <w:szCs w:val="20"/>
        </w:rPr>
        <w:t xml:space="preserve"> актам:</w:t>
      </w:r>
    </w:p>
    <w:p w14:paraId="24185572" w14:textId="6CD6E2D5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>- Закон</w:t>
      </w:r>
      <w:r>
        <w:rPr>
          <w:i/>
          <w:sz w:val="20"/>
          <w:szCs w:val="20"/>
          <w:lang w:val="uk-UA"/>
        </w:rPr>
        <w:t>у</w:t>
      </w:r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 xml:space="preserve"> «Про </w:t>
      </w:r>
      <w:proofErr w:type="spellStart"/>
      <w:r w:rsidRPr="0070534F">
        <w:rPr>
          <w:i/>
          <w:sz w:val="20"/>
          <w:szCs w:val="20"/>
        </w:rPr>
        <w:t>ринок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 </w:t>
      </w:r>
      <w:proofErr w:type="spellStart"/>
      <w:r w:rsidRPr="0070534F">
        <w:rPr>
          <w:i/>
          <w:sz w:val="20"/>
          <w:szCs w:val="20"/>
        </w:rPr>
        <w:t>від</w:t>
      </w:r>
      <w:proofErr w:type="spellEnd"/>
      <w:r w:rsidRPr="0070534F">
        <w:rPr>
          <w:i/>
          <w:sz w:val="20"/>
          <w:szCs w:val="20"/>
        </w:rPr>
        <w:t xml:space="preserve"> 09.04.2015 №329-VIII (</w:t>
      </w:r>
      <w:proofErr w:type="spellStart"/>
      <w:r w:rsidRPr="0070534F">
        <w:rPr>
          <w:i/>
          <w:sz w:val="20"/>
          <w:szCs w:val="20"/>
        </w:rPr>
        <w:t>із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змінами</w:t>
      </w:r>
      <w:proofErr w:type="spellEnd"/>
      <w:r w:rsidRPr="0070534F">
        <w:rPr>
          <w:i/>
          <w:sz w:val="20"/>
          <w:szCs w:val="20"/>
        </w:rPr>
        <w:t>);</w:t>
      </w:r>
    </w:p>
    <w:p w14:paraId="5492BD5F" w14:textId="0AC8F16E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>- «Правила</w:t>
      </w:r>
      <w:r>
        <w:rPr>
          <w:i/>
          <w:sz w:val="20"/>
          <w:szCs w:val="20"/>
          <w:lang w:val="uk-UA"/>
        </w:rPr>
        <w:t>м</w:t>
      </w:r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постачання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газу», </w:t>
      </w:r>
      <w:proofErr w:type="spellStart"/>
      <w:r w:rsidRPr="0070534F">
        <w:rPr>
          <w:i/>
          <w:sz w:val="20"/>
          <w:szCs w:val="20"/>
        </w:rPr>
        <w:t>затверджені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постановою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Національної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комісії</w:t>
      </w:r>
      <w:proofErr w:type="spellEnd"/>
      <w:r w:rsidRPr="0070534F">
        <w:rPr>
          <w:i/>
          <w:sz w:val="20"/>
          <w:szCs w:val="20"/>
        </w:rPr>
        <w:t xml:space="preserve">, </w:t>
      </w:r>
      <w:proofErr w:type="spellStart"/>
      <w:r w:rsidRPr="0070534F">
        <w:rPr>
          <w:i/>
          <w:sz w:val="20"/>
          <w:szCs w:val="20"/>
        </w:rPr>
        <w:t>що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здійснює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державне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регулювання</w:t>
      </w:r>
      <w:proofErr w:type="spellEnd"/>
      <w:r w:rsidRPr="0070534F">
        <w:rPr>
          <w:i/>
          <w:sz w:val="20"/>
          <w:szCs w:val="20"/>
        </w:rPr>
        <w:t xml:space="preserve"> у сферах </w:t>
      </w:r>
      <w:proofErr w:type="spellStart"/>
      <w:r w:rsidRPr="0070534F">
        <w:rPr>
          <w:i/>
          <w:sz w:val="20"/>
          <w:szCs w:val="20"/>
        </w:rPr>
        <w:t>енергетики</w:t>
      </w:r>
      <w:proofErr w:type="spellEnd"/>
      <w:r w:rsidRPr="0070534F">
        <w:rPr>
          <w:i/>
          <w:sz w:val="20"/>
          <w:szCs w:val="20"/>
        </w:rPr>
        <w:t xml:space="preserve"> та </w:t>
      </w:r>
      <w:proofErr w:type="spellStart"/>
      <w:r w:rsidRPr="0070534F">
        <w:rPr>
          <w:i/>
          <w:sz w:val="20"/>
          <w:szCs w:val="20"/>
        </w:rPr>
        <w:t>комунальних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послуг</w:t>
      </w:r>
      <w:proofErr w:type="spellEnd"/>
      <w:r w:rsidRPr="0070534F">
        <w:rPr>
          <w:i/>
          <w:sz w:val="20"/>
          <w:szCs w:val="20"/>
        </w:rPr>
        <w:t xml:space="preserve">» </w:t>
      </w:r>
      <w:proofErr w:type="spellStart"/>
      <w:r w:rsidRPr="0070534F">
        <w:rPr>
          <w:i/>
          <w:sz w:val="20"/>
          <w:szCs w:val="20"/>
        </w:rPr>
        <w:t>від</w:t>
      </w:r>
      <w:proofErr w:type="spellEnd"/>
      <w:r w:rsidRPr="0070534F">
        <w:rPr>
          <w:i/>
          <w:sz w:val="20"/>
          <w:szCs w:val="20"/>
        </w:rPr>
        <w:t xml:space="preserve"> 30.09.2015 №2496 (</w:t>
      </w:r>
      <w:proofErr w:type="spellStart"/>
      <w:r w:rsidRPr="0070534F">
        <w:rPr>
          <w:i/>
          <w:sz w:val="20"/>
          <w:szCs w:val="20"/>
        </w:rPr>
        <w:t>із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змінами</w:t>
      </w:r>
      <w:proofErr w:type="spellEnd"/>
      <w:r w:rsidRPr="0070534F">
        <w:rPr>
          <w:i/>
          <w:sz w:val="20"/>
          <w:szCs w:val="20"/>
        </w:rPr>
        <w:t>);</w:t>
      </w:r>
    </w:p>
    <w:p w14:paraId="1C77BFE1" w14:textId="77777777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 xml:space="preserve">- </w:t>
      </w:r>
      <w:proofErr w:type="spellStart"/>
      <w:r w:rsidRPr="0070534F">
        <w:rPr>
          <w:i/>
          <w:sz w:val="20"/>
          <w:szCs w:val="20"/>
        </w:rPr>
        <w:t>іншим</w:t>
      </w:r>
      <w:proofErr w:type="spellEnd"/>
      <w:r w:rsidRPr="0070534F">
        <w:rPr>
          <w:i/>
          <w:sz w:val="20"/>
          <w:szCs w:val="20"/>
        </w:rPr>
        <w:t xml:space="preserve"> нормативно-</w:t>
      </w:r>
      <w:proofErr w:type="spellStart"/>
      <w:r w:rsidRPr="0070534F">
        <w:rPr>
          <w:i/>
          <w:sz w:val="20"/>
          <w:szCs w:val="20"/>
        </w:rPr>
        <w:t>правовим</w:t>
      </w:r>
      <w:proofErr w:type="spellEnd"/>
      <w:r w:rsidRPr="0070534F">
        <w:rPr>
          <w:i/>
          <w:sz w:val="20"/>
          <w:szCs w:val="20"/>
        </w:rPr>
        <w:t xml:space="preserve"> актам, </w:t>
      </w:r>
      <w:proofErr w:type="spellStart"/>
      <w:r w:rsidRPr="0070534F">
        <w:rPr>
          <w:i/>
          <w:sz w:val="20"/>
          <w:szCs w:val="20"/>
        </w:rPr>
        <w:t>прийнятим</w:t>
      </w:r>
      <w:proofErr w:type="spellEnd"/>
      <w:r w:rsidRPr="0070534F">
        <w:rPr>
          <w:i/>
          <w:sz w:val="20"/>
          <w:szCs w:val="20"/>
        </w:rPr>
        <w:t xml:space="preserve"> на </w:t>
      </w:r>
      <w:proofErr w:type="spellStart"/>
      <w:r w:rsidRPr="0070534F">
        <w:rPr>
          <w:i/>
          <w:sz w:val="20"/>
          <w:szCs w:val="20"/>
        </w:rPr>
        <w:t>виконання</w:t>
      </w:r>
      <w:proofErr w:type="spellEnd"/>
      <w:r w:rsidRPr="0070534F">
        <w:rPr>
          <w:i/>
          <w:sz w:val="20"/>
          <w:szCs w:val="20"/>
        </w:rPr>
        <w:t xml:space="preserve"> Закону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 xml:space="preserve"> «Про </w:t>
      </w:r>
      <w:proofErr w:type="spellStart"/>
      <w:r w:rsidRPr="0070534F">
        <w:rPr>
          <w:i/>
          <w:sz w:val="20"/>
          <w:szCs w:val="20"/>
        </w:rPr>
        <w:t>ринок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газу».</w:t>
      </w:r>
    </w:p>
    <w:p w14:paraId="658C8FCB" w14:textId="13A2ECDB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lastRenderedPageBreak/>
        <w:t xml:space="preserve">При </w:t>
      </w:r>
      <w:proofErr w:type="spellStart"/>
      <w:proofErr w:type="gramStart"/>
      <w:r w:rsidRPr="0070534F">
        <w:rPr>
          <w:i/>
          <w:sz w:val="20"/>
          <w:szCs w:val="20"/>
        </w:rPr>
        <w:t>обл</w:t>
      </w:r>
      <w:proofErr w:type="gramEnd"/>
      <w:r w:rsidRPr="0070534F">
        <w:rPr>
          <w:i/>
          <w:sz w:val="20"/>
          <w:szCs w:val="20"/>
        </w:rPr>
        <w:t>іку</w:t>
      </w:r>
      <w:proofErr w:type="spellEnd"/>
      <w:r w:rsidRPr="0070534F">
        <w:rPr>
          <w:i/>
          <w:sz w:val="20"/>
          <w:szCs w:val="20"/>
        </w:rPr>
        <w:t xml:space="preserve"> газу </w:t>
      </w:r>
      <w:proofErr w:type="spellStart"/>
      <w:r w:rsidRPr="0070534F">
        <w:rPr>
          <w:i/>
          <w:sz w:val="20"/>
          <w:szCs w:val="20"/>
        </w:rPr>
        <w:t>приймається</w:t>
      </w:r>
      <w:proofErr w:type="spellEnd"/>
      <w:r w:rsidRPr="0070534F">
        <w:rPr>
          <w:i/>
          <w:sz w:val="20"/>
          <w:szCs w:val="20"/>
        </w:rPr>
        <w:t xml:space="preserve"> один </w:t>
      </w:r>
      <w:proofErr w:type="spellStart"/>
      <w:r w:rsidRPr="0070534F">
        <w:rPr>
          <w:i/>
          <w:sz w:val="20"/>
          <w:szCs w:val="20"/>
        </w:rPr>
        <w:t>кубічний</w:t>
      </w:r>
      <w:proofErr w:type="spellEnd"/>
      <w:r w:rsidRPr="0070534F">
        <w:rPr>
          <w:i/>
          <w:sz w:val="20"/>
          <w:szCs w:val="20"/>
        </w:rPr>
        <w:t xml:space="preserve"> метр (</w:t>
      </w:r>
      <w:proofErr w:type="spellStart"/>
      <w:r w:rsidRPr="0070534F">
        <w:rPr>
          <w:i/>
          <w:sz w:val="20"/>
          <w:szCs w:val="20"/>
        </w:rPr>
        <w:t>куб.м</w:t>
      </w:r>
      <w:proofErr w:type="spellEnd"/>
      <w:r w:rsidRPr="0070534F">
        <w:rPr>
          <w:i/>
          <w:sz w:val="20"/>
          <w:szCs w:val="20"/>
        </w:rPr>
        <w:t xml:space="preserve">.), приведений до </w:t>
      </w:r>
      <w:proofErr w:type="spellStart"/>
      <w:r w:rsidRPr="0070534F">
        <w:rPr>
          <w:i/>
          <w:sz w:val="20"/>
          <w:szCs w:val="20"/>
        </w:rPr>
        <w:t>стандартних</w:t>
      </w:r>
      <w:proofErr w:type="spellEnd"/>
      <w:r w:rsidRPr="0070534F">
        <w:rPr>
          <w:i/>
          <w:sz w:val="20"/>
          <w:szCs w:val="20"/>
        </w:rPr>
        <w:t xml:space="preserve"> умов: </w:t>
      </w:r>
      <w:proofErr w:type="spellStart"/>
      <w:r w:rsidRPr="0070534F">
        <w:rPr>
          <w:i/>
          <w:sz w:val="20"/>
          <w:szCs w:val="20"/>
        </w:rPr>
        <w:t>тиск</w:t>
      </w:r>
      <w:proofErr w:type="spellEnd"/>
      <w:r w:rsidRPr="0070534F">
        <w:rPr>
          <w:i/>
          <w:sz w:val="20"/>
          <w:szCs w:val="20"/>
        </w:rPr>
        <w:t xml:space="preserve"> 760 мм ртутного </w:t>
      </w:r>
      <w:proofErr w:type="spellStart"/>
      <w:r w:rsidRPr="0070534F">
        <w:rPr>
          <w:i/>
          <w:sz w:val="20"/>
          <w:szCs w:val="20"/>
        </w:rPr>
        <w:t>стовпчика</w:t>
      </w:r>
      <w:proofErr w:type="spellEnd"/>
      <w:r w:rsidRPr="0070534F">
        <w:rPr>
          <w:i/>
          <w:sz w:val="20"/>
          <w:szCs w:val="20"/>
        </w:rPr>
        <w:t xml:space="preserve"> і температура 20° C.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6F6A8500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>розмір бюджетного призначення, виз</w:t>
      </w:r>
      <w:r w:rsidR="0070534F">
        <w:rPr>
          <w:i/>
          <w:sz w:val="20"/>
          <w:szCs w:val="20"/>
          <w:lang w:val="uk-UA"/>
        </w:rPr>
        <w:t>начений відповідно</w:t>
      </w:r>
      <w:r w:rsidRPr="009A78AF">
        <w:rPr>
          <w:i/>
          <w:sz w:val="20"/>
          <w:szCs w:val="20"/>
          <w:lang w:val="uk-UA"/>
        </w:rPr>
        <w:t xml:space="preserve"> до </w:t>
      </w:r>
      <w:r w:rsidR="0070534F">
        <w:rPr>
          <w:i/>
          <w:sz w:val="20"/>
          <w:szCs w:val="20"/>
          <w:lang w:val="uk-UA"/>
        </w:rPr>
        <w:t xml:space="preserve">затвердженого 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50D19" w:rsidRPr="009A78AF">
        <w:rPr>
          <w:i/>
          <w:sz w:val="20"/>
          <w:szCs w:val="20"/>
          <w:lang w:val="uk-UA"/>
        </w:rPr>
        <w:t>орису</w:t>
      </w:r>
      <w:r w:rsidR="0070534F">
        <w:rPr>
          <w:i/>
          <w:sz w:val="20"/>
          <w:szCs w:val="20"/>
          <w:lang w:val="uk-UA"/>
        </w:rPr>
        <w:t xml:space="preserve"> установи</w:t>
      </w:r>
      <w:r w:rsidR="00F50D19" w:rsidRPr="009A78AF">
        <w:rPr>
          <w:i/>
          <w:sz w:val="20"/>
          <w:szCs w:val="20"/>
          <w:lang w:val="uk-UA"/>
        </w:rPr>
        <w:t xml:space="preserve"> на 2021 рік</w:t>
      </w:r>
      <w:r w:rsidR="009A78AF">
        <w:rPr>
          <w:i/>
          <w:sz w:val="20"/>
          <w:szCs w:val="20"/>
          <w:lang w:val="uk-UA"/>
        </w:rPr>
        <w:t>.</w:t>
      </w:r>
    </w:p>
    <w:p w14:paraId="647D4CA1" w14:textId="77777777" w:rsidR="0070534F" w:rsidRPr="009A78A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</w:p>
    <w:p w14:paraId="334946CC" w14:textId="48E477E2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794723">
        <w:rPr>
          <w:i/>
          <w:sz w:val="20"/>
          <w:szCs w:val="20"/>
          <w:lang w:val="uk-UA"/>
        </w:rPr>
        <w:t>466213</w:t>
      </w:r>
      <w:r w:rsidR="004B4971" w:rsidRPr="00033F2E">
        <w:rPr>
          <w:i/>
          <w:sz w:val="20"/>
          <w:szCs w:val="20"/>
          <w:lang w:val="uk-UA"/>
        </w:rPr>
        <w:t>,</w:t>
      </w:r>
      <w:r w:rsidR="004B4971">
        <w:rPr>
          <w:i/>
          <w:sz w:val="20"/>
          <w:szCs w:val="20"/>
          <w:lang w:val="uk-UA"/>
        </w:rPr>
        <w:t>00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08E80A64" w14:textId="2B424AF7" w:rsidR="008C1866" w:rsidRPr="008C1866" w:rsidRDefault="00D35A9F" w:rsidP="008C186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4B4971">
        <w:t xml:space="preserve"> </w:t>
      </w:r>
      <w:r w:rsidR="008C1866" w:rsidRPr="008C1866">
        <w:rPr>
          <w:i/>
          <w:sz w:val="20"/>
          <w:szCs w:val="20"/>
          <w:lang w:val="uk-UA"/>
        </w:rPr>
        <w:t>В</w:t>
      </w:r>
      <w:proofErr w:type="spellStart"/>
      <w:r w:rsidR="008C1866" w:rsidRPr="008C1866">
        <w:rPr>
          <w:i/>
          <w:sz w:val="20"/>
          <w:szCs w:val="20"/>
        </w:rPr>
        <w:t>ідповідно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частини</w:t>
      </w:r>
      <w:proofErr w:type="spellEnd"/>
      <w:r w:rsidR="008C1866" w:rsidRPr="008C1866">
        <w:rPr>
          <w:i/>
          <w:sz w:val="20"/>
          <w:szCs w:val="20"/>
        </w:rPr>
        <w:t xml:space="preserve"> 4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4 Закону </w:t>
      </w:r>
      <w:proofErr w:type="spellStart"/>
      <w:r w:rsidR="008C1866" w:rsidRPr="008C1866">
        <w:rPr>
          <w:i/>
          <w:sz w:val="20"/>
          <w:szCs w:val="20"/>
        </w:rPr>
        <w:t>України</w:t>
      </w:r>
      <w:proofErr w:type="spellEnd"/>
      <w:r w:rsidR="008C1866" w:rsidRPr="008C1866">
        <w:rPr>
          <w:i/>
          <w:sz w:val="20"/>
          <w:szCs w:val="20"/>
        </w:rPr>
        <w:t xml:space="preserve"> «Про </w:t>
      </w:r>
      <w:proofErr w:type="spellStart"/>
      <w:r w:rsidR="008C1866" w:rsidRPr="008C1866">
        <w:rPr>
          <w:i/>
          <w:sz w:val="20"/>
          <w:szCs w:val="20"/>
        </w:rPr>
        <w:t>публічні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» для </w:t>
      </w:r>
      <w:proofErr w:type="spellStart"/>
      <w:r w:rsidR="008C1866" w:rsidRPr="008C1866">
        <w:rPr>
          <w:i/>
          <w:sz w:val="20"/>
          <w:szCs w:val="20"/>
        </w:rPr>
        <w:t>планування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проводити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консультації</w:t>
      </w:r>
      <w:proofErr w:type="spellEnd"/>
      <w:r w:rsidR="008C1866" w:rsidRPr="008C1866">
        <w:rPr>
          <w:i/>
          <w:sz w:val="20"/>
          <w:szCs w:val="20"/>
        </w:rPr>
        <w:t xml:space="preserve"> з метою </w:t>
      </w:r>
      <w:proofErr w:type="spellStart"/>
      <w:r w:rsidR="008C1866" w:rsidRPr="008C1866">
        <w:rPr>
          <w:i/>
          <w:sz w:val="20"/>
          <w:szCs w:val="20"/>
        </w:rPr>
        <w:t>аналізу</w:t>
      </w:r>
      <w:proofErr w:type="spellEnd"/>
      <w:r w:rsidR="008C1866" w:rsidRPr="008C1866">
        <w:rPr>
          <w:i/>
          <w:sz w:val="20"/>
          <w:szCs w:val="20"/>
        </w:rPr>
        <w:t xml:space="preserve"> ринку, у тому </w:t>
      </w:r>
      <w:proofErr w:type="spellStart"/>
      <w:r w:rsidR="008C1866" w:rsidRPr="008C1866">
        <w:rPr>
          <w:i/>
          <w:sz w:val="20"/>
          <w:szCs w:val="20"/>
        </w:rPr>
        <w:t>числі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запитувати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отримувати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від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. </w:t>
      </w:r>
      <w:proofErr w:type="spellStart"/>
      <w:r w:rsidR="008C1866" w:rsidRPr="008C1866">
        <w:rPr>
          <w:i/>
          <w:sz w:val="20"/>
          <w:szCs w:val="20"/>
        </w:rPr>
        <w:t>Такі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використовуватися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</w:t>
      </w:r>
      <w:proofErr w:type="spellEnd"/>
      <w:r w:rsidR="008C1866" w:rsidRPr="008C1866">
        <w:rPr>
          <w:i/>
          <w:sz w:val="20"/>
          <w:szCs w:val="20"/>
        </w:rPr>
        <w:t xml:space="preserve"> час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, </w:t>
      </w:r>
      <w:proofErr w:type="spellStart"/>
      <w:r w:rsidR="008C1866" w:rsidRPr="008C1866">
        <w:rPr>
          <w:i/>
          <w:sz w:val="20"/>
          <w:szCs w:val="20"/>
        </w:rPr>
        <w:t>якщо</w:t>
      </w:r>
      <w:proofErr w:type="spellEnd"/>
      <w:r w:rsidR="008C1866" w:rsidRPr="008C1866">
        <w:rPr>
          <w:i/>
          <w:sz w:val="20"/>
          <w:szCs w:val="20"/>
        </w:rPr>
        <w:t xml:space="preserve"> вони не </w:t>
      </w:r>
      <w:proofErr w:type="spellStart"/>
      <w:r w:rsidR="008C1866" w:rsidRPr="008C1866">
        <w:rPr>
          <w:i/>
          <w:sz w:val="20"/>
          <w:szCs w:val="20"/>
        </w:rPr>
        <w:t>призводять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порушення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5 </w:t>
      </w:r>
      <w:proofErr w:type="spellStart"/>
      <w:r w:rsidR="008C1866" w:rsidRPr="008C1866">
        <w:rPr>
          <w:i/>
          <w:sz w:val="20"/>
          <w:szCs w:val="20"/>
        </w:rPr>
        <w:t>цього</w:t>
      </w:r>
      <w:proofErr w:type="spellEnd"/>
      <w:r w:rsidR="008C1866" w:rsidRPr="008C1866">
        <w:rPr>
          <w:i/>
          <w:sz w:val="20"/>
          <w:szCs w:val="20"/>
        </w:rPr>
        <w:t xml:space="preserve"> Закону.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ринкових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консультацій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не </w:t>
      </w:r>
      <w:proofErr w:type="spellStart"/>
      <w:r w:rsidR="008C1866" w:rsidRPr="008C1866">
        <w:rPr>
          <w:i/>
          <w:sz w:val="20"/>
          <w:szCs w:val="20"/>
        </w:rPr>
        <w:t>вважається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участю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  у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ідготовці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вимог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тендерної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документації</w:t>
      </w:r>
      <w:proofErr w:type="spellEnd"/>
      <w:r w:rsidR="008C1866" w:rsidRPr="008C1866">
        <w:rPr>
          <w:i/>
          <w:sz w:val="20"/>
          <w:szCs w:val="20"/>
        </w:rPr>
        <w:t>.</w:t>
      </w:r>
    </w:p>
    <w:p w14:paraId="5435A2EF" w14:textId="48E35BD8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</w:rPr>
        <w:t xml:space="preserve">     </w:t>
      </w:r>
      <w:proofErr w:type="spellStart"/>
      <w:r w:rsidRPr="008C1866">
        <w:rPr>
          <w:i/>
          <w:sz w:val="20"/>
          <w:szCs w:val="20"/>
        </w:rPr>
        <w:t>Відповідно</w:t>
      </w:r>
      <w:proofErr w:type="spellEnd"/>
      <w:r w:rsidRPr="008C1866">
        <w:rPr>
          <w:i/>
          <w:sz w:val="20"/>
          <w:szCs w:val="20"/>
        </w:rPr>
        <w:t xml:space="preserve"> до пункту 3 </w:t>
      </w:r>
      <w:proofErr w:type="spellStart"/>
      <w:r w:rsidRPr="008C1866">
        <w:rPr>
          <w:i/>
          <w:sz w:val="20"/>
          <w:szCs w:val="20"/>
        </w:rPr>
        <w:t>Розділу</w:t>
      </w:r>
      <w:proofErr w:type="spellEnd"/>
      <w:r w:rsidRPr="008C1866">
        <w:rPr>
          <w:i/>
          <w:sz w:val="20"/>
          <w:szCs w:val="20"/>
        </w:rPr>
        <w:t xml:space="preserve"> ІІ «</w:t>
      </w:r>
      <w:proofErr w:type="spellStart"/>
      <w:r w:rsidRPr="008C1866">
        <w:rPr>
          <w:i/>
          <w:sz w:val="20"/>
          <w:szCs w:val="20"/>
        </w:rPr>
        <w:t>Етапи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визначення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вартості</w:t>
      </w:r>
      <w:proofErr w:type="spellEnd"/>
      <w:r w:rsidRPr="008C1866">
        <w:rPr>
          <w:i/>
          <w:sz w:val="20"/>
          <w:szCs w:val="20"/>
        </w:rPr>
        <w:t xml:space="preserve">»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проведення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можуть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направляти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повідомлення</w:t>
      </w:r>
      <w:proofErr w:type="spellEnd"/>
      <w:r w:rsidRPr="008C1866">
        <w:rPr>
          <w:i/>
          <w:sz w:val="20"/>
          <w:szCs w:val="20"/>
        </w:rPr>
        <w:t xml:space="preserve"> (</w:t>
      </w:r>
      <w:proofErr w:type="spellStart"/>
      <w:r w:rsidRPr="008C1866">
        <w:rPr>
          <w:i/>
          <w:sz w:val="20"/>
          <w:szCs w:val="20"/>
        </w:rPr>
        <w:t>анкети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запити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запрошення</w:t>
      </w:r>
      <w:proofErr w:type="spellEnd"/>
      <w:r w:rsidRPr="008C1866">
        <w:rPr>
          <w:i/>
          <w:sz w:val="20"/>
          <w:szCs w:val="20"/>
        </w:rPr>
        <w:t xml:space="preserve"> до </w:t>
      </w:r>
      <w:proofErr w:type="spellStart"/>
      <w:r w:rsidRPr="008C1866">
        <w:rPr>
          <w:i/>
          <w:sz w:val="20"/>
          <w:szCs w:val="20"/>
        </w:rPr>
        <w:t>обговорення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тощо</w:t>
      </w:r>
      <w:proofErr w:type="spellEnd"/>
      <w:r w:rsidRPr="008C1866">
        <w:rPr>
          <w:i/>
          <w:sz w:val="20"/>
          <w:szCs w:val="20"/>
        </w:rPr>
        <w:t xml:space="preserve">) з </w:t>
      </w:r>
      <w:proofErr w:type="spellStart"/>
      <w:r w:rsidRPr="008C1866">
        <w:rPr>
          <w:i/>
          <w:sz w:val="20"/>
          <w:szCs w:val="20"/>
        </w:rPr>
        <w:t>описом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необхідних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бажаних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вимог</w:t>
      </w:r>
      <w:proofErr w:type="spellEnd"/>
      <w:r w:rsidRPr="008C1866">
        <w:rPr>
          <w:i/>
          <w:sz w:val="20"/>
          <w:szCs w:val="20"/>
        </w:rPr>
        <w:t xml:space="preserve"> до предмета </w:t>
      </w:r>
      <w:proofErr w:type="spellStart"/>
      <w:r w:rsidRPr="008C1866">
        <w:rPr>
          <w:i/>
          <w:sz w:val="20"/>
          <w:szCs w:val="20"/>
        </w:rPr>
        <w:t>закупівлі</w:t>
      </w:r>
      <w:proofErr w:type="spellEnd"/>
      <w:r w:rsidRPr="008C1866">
        <w:rPr>
          <w:i/>
          <w:sz w:val="20"/>
          <w:szCs w:val="20"/>
        </w:rPr>
        <w:t xml:space="preserve">, в </w:t>
      </w:r>
      <w:proofErr w:type="spellStart"/>
      <w:r w:rsidRPr="008C1866">
        <w:rPr>
          <w:i/>
          <w:sz w:val="20"/>
          <w:szCs w:val="20"/>
        </w:rPr>
        <w:t>яких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крім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іншого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слід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зазначати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надсилання</w:t>
      </w:r>
      <w:proofErr w:type="spellEnd"/>
      <w:r w:rsidRPr="008C1866">
        <w:rPr>
          <w:i/>
          <w:sz w:val="20"/>
          <w:szCs w:val="20"/>
        </w:rPr>
        <w:t xml:space="preserve"> таких </w:t>
      </w:r>
      <w:proofErr w:type="spellStart"/>
      <w:r w:rsidRPr="008C1866">
        <w:rPr>
          <w:i/>
          <w:sz w:val="20"/>
          <w:szCs w:val="20"/>
        </w:rPr>
        <w:t>повідомлень</w:t>
      </w:r>
      <w:proofErr w:type="spellEnd"/>
      <w:r w:rsidRPr="008C1866">
        <w:rPr>
          <w:i/>
          <w:sz w:val="20"/>
          <w:szCs w:val="20"/>
        </w:rPr>
        <w:t xml:space="preserve"> (анкет, </w:t>
      </w:r>
      <w:proofErr w:type="spellStart"/>
      <w:r w:rsidRPr="008C1866">
        <w:rPr>
          <w:i/>
          <w:sz w:val="20"/>
          <w:szCs w:val="20"/>
        </w:rPr>
        <w:t>запитів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proofErr w:type="gramStart"/>
      <w:r w:rsidRPr="008C1866">
        <w:rPr>
          <w:i/>
          <w:sz w:val="20"/>
          <w:szCs w:val="20"/>
        </w:rPr>
        <w:t>запрошень</w:t>
      </w:r>
      <w:proofErr w:type="spellEnd"/>
      <w:r w:rsidRPr="008C1866">
        <w:rPr>
          <w:i/>
          <w:sz w:val="20"/>
          <w:szCs w:val="20"/>
        </w:rPr>
        <w:t xml:space="preserve">) не </w:t>
      </w:r>
      <w:proofErr w:type="spellStart"/>
      <w:r w:rsidRPr="008C1866">
        <w:rPr>
          <w:i/>
          <w:sz w:val="20"/>
          <w:szCs w:val="20"/>
        </w:rPr>
        <w:t>тягне</w:t>
      </w:r>
      <w:proofErr w:type="spellEnd"/>
      <w:r w:rsidRPr="008C1866">
        <w:rPr>
          <w:i/>
          <w:sz w:val="20"/>
          <w:szCs w:val="20"/>
        </w:rPr>
        <w:t xml:space="preserve"> за собою </w:t>
      </w:r>
      <w:proofErr w:type="spellStart"/>
      <w:r w:rsidRPr="008C1866">
        <w:rPr>
          <w:i/>
          <w:sz w:val="20"/>
          <w:szCs w:val="20"/>
        </w:rPr>
        <w:t>виникнення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зобов’язань</w:t>
      </w:r>
      <w:proofErr w:type="spellEnd"/>
      <w:r w:rsidRPr="008C1866">
        <w:rPr>
          <w:i/>
          <w:sz w:val="20"/>
          <w:szCs w:val="20"/>
        </w:rPr>
        <w:t xml:space="preserve"> з боку  </w:t>
      </w:r>
      <w:proofErr w:type="spellStart"/>
      <w:r w:rsidRPr="008C1866">
        <w:rPr>
          <w:i/>
          <w:sz w:val="20"/>
          <w:szCs w:val="20"/>
        </w:rPr>
        <w:t>замовника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щодо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надання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переваг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брали участь в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консультаціях</w:t>
      </w:r>
      <w:proofErr w:type="spellEnd"/>
      <w:r w:rsidRPr="008C1866">
        <w:rPr>
          <w:i/>
          <w:sz w:val="20"/>
          <w:szCs w:val="20"/>
        </w:rPr>
        <w:t>.</w:t>
      </w:r>
      <w:proofErr w:type="gram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Зацікавлені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учасники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надсилають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свої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із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зазначенням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можливих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варіантів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опрацьовують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аналізують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отримані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. </w:t>
      </w:r>
      <w:proofErr w:type="spellStart"/>
      <w:r w:rsidRPr="008C1866">
        <w:rPr>
          <w:i/>
          <w:sz w:val="20"/>
          <w:szCs w:val="20"/>
        </w:rPr>
        <w:t>Отримана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замовниками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інформація</w:t>
      </w:r>
      <w:proofErr w:type="spellEnd"/>
      <w:r w:rsidRPr="008C1866">
        <w:rPr>
          <w:i/>
          <w:sz w:val="20"/>
          <w:szCs w:val="20"/>
        </w:rPr>
        <w:t xml:space="preserve"> дозволить  </w:t>
      </w:r>
      <w:proofErr w:type="spellStart"/>
      <w:r w:rsidRPr="008C1866">
        <w:rPr>
          <w:i/>
          <w:sz w:val="20"/>
          <w:szCs w:val="20"/>
        </w:rPr>
        <w:t>визначити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обґрунтовану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вартість</w:t>
      </w:r>
      <w:proofErr w:type="spellEnd"/>
      <w:r w:rsidRPr="008C1866">
        <w:rPr>
          <w:i/>
          <w:sz w:val="20"/>
          <w:szCs w:val="20"/>
        </w:rPr>
        <w:t>.</w:t>
      </w:r>
    </w:p>
    <w:p w14:paraId="5E4F1C2F" w14:textId="176EA5BE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</w:t>
      </w:r>
      <w:r>
        <w:rPr>
          <w:i/>
          <w:sz w:val="20"/>
          <w:szCs w:val="20"/>
          <w:lang w:val="uk-UA"/>
        </w:rPr>
        <w:t>іб, як направлення не менше 3 (</w:t>
      </w:r>
      <w:r w:rsidRPr="008C1866">
        <w:rPr>
          <w:i/>
          <w:sz w:val="20"/>
          <w:szCs w:val="20"/>
          <w:lang w:val="uk-UA"/>
        </w:rPr>
        <w:t>трьох)  письмових запитів цінових пропозицій (електронною поштою) постачальникам природного газу.</w:t>
      </w:r>
    </w:p>
    <w:p w14:paraId="1990B685" w14:textId="11F4891F" w:rsidR="008C1866" w:rsidRDefault="00033F2E" w:rsidP="008C1866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17.08</w:t>
      </w:r>
      <w:r w:rsidR="008C1866" w:rsidRPr="008C1866">
        <w:rPr>
          <w:i/>
          <w:sz w:val="20"/>
          <w:szCs w:val="20"/>
          <w:lang w:val="uk-UA"/>
        </w:rPr>
        <w:t>.2021 надіслано листи-запити 3 (трьом) постачальникам з метою надання ними комерційної пропозиції щодо вартості природного газу за 1000 м. куб., включаючи послуги із замовлення (бронювання) потужності</w:t>
      </w:r>
      <w:r w:rsidR="008C1866">
        <w:rPr>
          <w:i/>
          <w:sz w:val="20"/>
          <w:szCs w:val="20"/>
          <w:lang w:val="uk-UA"/>
        </w:rPr>
        <w:t>.</w:t>
      </w:r>
    </w:p>
    <w:p w14:paraId="48785036" w14:textId="6BCCCDA2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t xml:space="preserve"> </w:t>
      </w:r>
      <w:r w:rsidR="00033F2E">
        <w:rPr>
          <w:i/>
          <w:sz w:val="20"/>
          <w:szCs w:val="20"/>
          <w:lang w:val="uk-UA"/>
        </w:rPr>
        <w:t>Станом на 26.08</w:t>
      </w:r>
      <w:r w:rsidRPr="008C1866">
        <w:rPr>
          <w:i/>
          <w:sz w:val="20"/>
          <w:szCs w:val="20"/>
          <w:lang w:val="uk-UA"/>
        </w:rPr>
        <w:t>.2021 отримано 3 (три) комерційні пропозиції від постачальників природного газу</w:t>
      </w:r>
      <w:r>
        <w:rPr>
          <w:i/>
          <w:sz w:val="20"/>
          <w:szCs w:val="20"/>
          <w:lang w:val="uk-UA"/>
        </w:rPr>
        <w:t>.</w:t>
      </w:r>
    </w:p>
    <w:p w14:paraId="4C986405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D41EC89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 xml:space="preserve">         </w:t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033F2E">
        <w:rPr>
          <w:i/>
          <w:sz w:val="20"/>
          <w:szCs w:val="20"/>
          <w:lang w:val="uk-UA"/>
        </w:rPr>
        <w:t>Цк</w:t>
      </w:r>
      <w:proofErr w:type="spellEnd"/>
      <w:r w:rsidRPr="00033F2E">
        <w:rPr>
          <w:i/>
          <w:sz w:val="20"/>
          <w:szCs w:val="20"/>
          <w:lang w:val="uk-UA"/>
        </w:rPr>
        <w:t>) / К,   де:</w:t>
      </w:r>
    </w:p>
    <w:p w14:paraId="351BF9A5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де:</w:t>
      </w: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ціна за одиницю;</w:t>
      </w:r>
    </w:p>
    <w:p w14:paraId="0D44F96C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033F2E">
        <w:rPr>
          <w:i/>
          <w:sz w:val="20"/>
          <w:szCs w:val="20"/>
          <w:lang w:val="uk-UA"/>
        </w:rPr>
        <w:t>Цк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2A216CD7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>К</w:t>
      </w:r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5F594E51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001E6DF2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 xml:space="preserve"> = (19,90 грн. +19,695грн.+19,30грн.) / 3</w:t>
      </w:r>
    </w:p>
    <w:p w14:paraId="2A6C7B56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1EC46258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Отож, ціна за 1м.куб становить 19,63 грн. з ПДВ., включаючи послуги із замовлення (бронювання) потужності.</w:t>
      </w:r>
    </w:p>
    <w:p w14:paraId="6EFD927F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10EA0BC0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033F2E">
        <w:rPr>
          <w:i/>
          <w:sz w:val="20"/>
          <w:szCs w:val="20"/>
          <w:lang w:val="uk-UA"/>
        </w:rPr>
        <w:t>ОВмрц</w:t>
      </w:r>
      <w:proofErr w:type="spellEnd"/>
      <w:r w:rsidRPr="00033F2E">
        <w:rPr>
          <w:i/>
          <w:sz w:val="20"/>
          <w:szCs w:val="20"/>
          <w:lang w:val="uk-UA"/>
        </w:rPr>
        <w:t xml:space="preserve"> = </w:t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 xml:space="preserve"> * V,  де:</w:t>
      </w:r>
    </w:p>
    <w:p w14:paraId="7DD170BB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ОВмрц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66DEA7AC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06D36780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>V</w:t>
      </w:r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033F2E">
        <w:rPr>
          <w:i/>
          <w:sz w:val="20"/>
          <w:szCs w:val="20"/>
          <w:lang w:val="uk-UA"/>
        </w:rPr>
        <w:t>закуповується</w:t>
      </w:r>
      <w:proofErr w:type="spellEnd"/>
      <w:r w:rsidRPr="00033F2E">
        <w:rPr>
          <w:i/>
          <w:sz w:val="20"/>
          <w:szCs w:val="20"/>
          <w:lang w:val="uk-UA"/>
        </w:rPr>
        <w:t>.</w:t>
      </w:r>
    </w:p>
    <w:p w14:paraId="77365032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79AF7EEE" w14:textId="10C3C185" w:rsidR="00033F2E" w:rsidRPr="00033F2E" w:rsidRDefault="00794723" w:rsidP="00033F2E">
      <w:pPr>
        <w:ind w:left="851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ОВмрц=19,63*23750</w:t>
      </w:r>
      <w:bookmarkStart w:id="0" w:name="_GoBack"/>
      <w:bookmarkEnd w:id="0"/>
      <w:r w:rsidR="00033F2E" w:rsidRPr="00033F2E">
        <w:rPr>
          <w:i/>
          <w:sz w:val="20"/>
          <w:szCs w:val="20"/>
          <w:lang w:val="uk-UA"/>
        </w:rPr>
        <w:t xml:space="preserve"> </w:t>
      </w:r>
      <w:proofErr w:type="spellStart"/>
      <w:r w:rsidR="00033F2E" w:rsidRPr="00033F2E">
        <w:rPr>
          <w:i/>
          <w:sz w:val="20"/>
          <w:szCs w:val="20"/>
          <w:lang w:val="uk-UA"/>
        </w:rPr>
        <w:t>м.куб</w:t>
      </w:r>
      <w:proofErr w:type="spellEnd"/>
      <w:r w:rsidR="00033F2E" w:rsidRPr="00033F2E">
        <w:rPr>
          <w:i/>
          <w:sz w:val="20"/>
          <w:szCs w:val="20"/>
          <w:lang w:val="uk-UA"/>
        </w:rPr>
        <w:t>.</w:t>
      </w:r>
    </w:p>
    <w:p w14:paraId="5CA55889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089E2AE8" w14:textId="6BE88D8C" w:rsidR="004B4971" w:rsidRPr="004B4971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Отож, очікувана вартість предмета закупівлі товару (природного газу), з урахуванням замовлення (бронюван</w:t>
      </w:r>
      <w:r w:rsidR="00794723">
        <w:rPr>
          <w:i/>
          <w:sz w:val="20"/>
          <w:szCs w:val="20"/>
          <w:lang w:val="uk-UA"/>
        </w:rPr>
        <w:t>ня) потужності  становить 466213</w:t>
      </w:r>
      <w:r w:rsidRPr="00033F2E">
        <w:rPr>
          <w:i/>
          <w:sz w:val="20"/>
          <w:szCs w:val="20"/>
          <w:lang w:val="uk-UA"/>
        </w:rPr>
        <w:t xml:space="preserve">,00 </w:t>
      </w:r>
      <w:proofErr w:type="spellStart"/>
      <w:r w:rsidRPr="00033F2E">
        <w:rPr>
          <w:i/>
          <w:sz w:val="20"/>
          <w:szCs w:val="20"/>
          <w:lang w:val="uk-UA"/>
        </w:rPr>
        <w:t>грн.з</w:t>
      </w:r>
      <w:proofErr w:type="spellEnd"/>
      <w:r w:rsidRPr="00033F2E">
        <w:rPr>
          <w:i/>
          <w:sz w:val="20"/>
          <w:szCs w:val="20"/>
          <w:lang w:val="uk-UA"/>
        </w:rPr>
        <w:t xml:space="preserve"> ПДВ.</w:t>
      </w:r>
    </w:p>
    <w:sectPr w:rsidR="004B4971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33F2E"/>
    <w:rsid w:val="003D1E99"/>
    <w:rsid w:val="004B4971"/>
    <w:rsid w:val="006A3DFD"/>
    <w:rsid w:val="006B68AD"/>
    <w:rsid w:val="0070534F"/>
    <w:rsid w:val="00794723"/>
    <w:rsid w:val="008C1866"/>
    <w:rsid w:val="00906DB7"/>
    <w:rsid w:val="009A78AF"/>
    <w:rsid w:val="00A503E2"/>
    <w:rsid w:val="00BE718D"/>
    <w:rsid w:val="00C9577F"/>
    <w:rsid w:val="00D35A9F"/>
    <w:rsid w:val="00E27B55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05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0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05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0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5</cp:revision>
  <cp:lastPrinted>2021-02-24T12:02:00Z</cp:lastPrinted>
  <dcterms:created xsi:type="dcterms:W3CDTF">2021-08-19T09:11:00Z</dcterms:created>
  <dcterms:modified xsi:type="dcterms:W3CDTF">2021-08-30T11:20:00Z</dcterms:modified>
</cp:coreProperties>
</file>