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1E" w:rsidRPr="00616709" w:rsidRDefault="005D221E" w:rsidP="005D221E">
      <w:pPr>
        <w:jc w:val="center"/>
        <w:rPr>
          <w:rFonts w:ascii="Times New Roman" w:hAnsi="Times New Roman" w:cs="Times New Roman"/>
          <w:szCs w:val="28"/>
          <w:lang w:val="uk-UA"/>
        </w:rPr>
      </w:pPr>
      <w:r w:rsidRPr="00616709">
        <w:rPr>
          <w:rFonts w:ascii="Times New Roman" w:hAnsi="Times New Roman" w:cs="Times New Roman"/>
          <w:szCs w:val="28"/>
          <w:lang w:val="uk-UA"/>
        </w:rPr>
        <w:t xml:space="preserve">Інформація щодо процедур </w:t>
      </w:r>
      <w:proofErr w:type="spellStart"/>
      <w:r w:rsidRPr="00616709">
        <w:rPr>
          <w:rFonts w:ascii="Times New Roman" w:hAnsi="Times New Roman" w:cs="Times New Roman"/>
          <w:szCs w:val="28"/>
          <w:lang w:val="uk-UA"/>
        </w:rPr>
        <w:t>закупівель</w:t>
      </w:r>
      <w:proofErr w:type="spellEnd"/>
    </w:p>
    <w:p w:rsidR="005D221E" w:rsidRDefault="005D221E" w:rsidP="005D221E">
      <w:pPr>
        <w:jc w:val="center"/>
        <w:rPr>
          <w:rFonts w:ascii="Times New Roman" w:hAnsi="Times New Roman" w:cs="Times New Roman"/>
          <w:szCs w:val="28"/>
          <w:lang w:val="uk-UA"/>
        </w:rPr>
      </w:pPr>
      <w:r>
        <w:rPr>
          <w:rFonts w:ascii="Times New Roman" w:hAnsi="Times New Roman" w:cs="Times New Roman"/>
          <w:szCs w:val="28"/>
          <w:lang w:val="uk-UA"/>
        </w:rPr>
        <w:t>н</w:t>
      </w:r>
      <w:r w:rsidRPr="00616709">
        <w:rPr>
          <w:rFonts w:ascii="Times New Roman" w:hAnsi="Times New Roman" w:cs="Times New Roman"/>
          <w:szCs w:val="28"/>
          <w:lang w:val="uk-UA"/>
        </w:rPr>
        <w:t>а виконання Постанови КМУ від 11.10.2016 № 710 (зі змінами)</w:t>
      </w:r>
    </w:p>
    <w:p w:rsidR="005D221E" w:rsidRDefault="005D221E" w:rsidP="005D221E">
      <w:pPr>
        <w:rPr>
          <w:rFonts w:ascii="Times New Roman" w:hAnsi="Times New Roman" w:cs="Times New Roman"/>
          <w:szCs w:val="28"/>
          <w:lang w:val="uk-UA"/>
        </w:rPr>
      </w:pPr>
    </w:p>
    <w:p w:rsidR="005D221E" w:rsidRDefault="005D221E" w:rsidP="005D221E">
      <w:pPr>
        <w:jc w:val="center"/>
        <w:rPr>
          <w:rFonts w:ascii="Times New Roman" w:hAnsi="Times New Roman" w:cs="Times New Roman"/>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679"/>
      </w:tblGrid>
      <w:tr w:rsidR="005D221E" w:rsidTr="00B75874">
        <w:tc>
          <w:tcPr>
            <w:tcW w:w="1838" w:type="dxa"/>
            <w:shd w:val="clear" w:color="auto" w:fill="auto"/>
          </w:tcPr>
          <w:p w:rsidR="005D221E" w:rsidRPr="00771877" w:rsidRDefault="005D221E" w:rsidP="00B75874">
            <w:pPr>
              <w:rPr>
                <w:rFonts w:ascii="Times New Roman" w:eastAsia="Calibri" w:hAnsi="Times New Roman" w:cs="Times New Roman"/>
                <w:sz w:val="24"/>
                <w:szCs w:val="24"/>
                <w:lang w:val="uk-UA"/>
              </w:rPr>
            </w:pPr>
            <w:r w:rsidRPr="00771877">
              <w:rPr>
                <w:rFonts w:ascii="Times New Roman" w:eastAsia="Calibri" w:hAnsi="Times New Roman" w:cs="Times New Roman"/>
                <w:sz w:val="24"/>
                <w:szCs w:val="24"/>
                <w:lang w:val="uk-UA"/>
              </w:rPr>
              <w:t>Найменування предмета закупівлі із зазначенням коду ЄЗС</w:t>
            </w:r>
          </w:p>
        </w:tc>
        <w:tc>
          <w:tcPr>
            <w:tcW w:w="7507" w:type="dxa"/>
            <w:shd w:val="clear" w:color="auto" w:fill="auto"/>
          </w:tcPr>
          <w:p w:rsidR="005D221E" w:rsidRPr="00771877" w:rsidRDefault="005D221E" w:rsidP="00B75874">
            <w:pPr>
              <w:shd w:val="clear" w:color="auto" w:fill="FFFFFF"/>
              <w:spacing w:after="150"/>
              <w:textAlignment w:val="baseline"/>
              <w:outlineLvl w:val="0"/>
              <w:rPr>
                <w:rFonts w:ascii="Times New Roman" w:eastAsia="Calibri" w:hAnsi="Times New Roman"/>
                <w:bCs/>
                <w:szCs w:val="28"/>
                <w:lang w:val="uk-UA" w:eastAsia="uk-UA"/>
              </w:rPr>
            </w:pPr>
          </w:p>
          <w:p w:rsidR="005D221E" w:rsidRPr="00771877" w:rsidRDefault="005D221E" w:rsidP="00B75874">
            <w:pPr>
              <w:shd w:val="clear" w:color="auto" w:fill="FFFFFF"/>
              <w:spacing w:after="150"/>
              <w:textAlignment w:val="baseline"/>
              <w:outlineLvl w:val="0"/>
              <w:rPr>
                <w:rFonts w:ascii="Times New Roman" w:eastAsia="Calibri" w:hAnsi="Times New Roman" w:cs="Times New Roman"/>
                <w:sz w:val="24"/>
                <w:szCs w:val="24"/>
              </w:rPr>
            </w:pPr>
            <w:r w:rsidRPr="00771877">
              <w:rPr>
                <w:rFonts w:ascii="Times New Roman" w:eastAsia="Calibri" w:hAnsi="Times New Roman"/>
                <w:bCs/>
                <w:szCs w:val="28"/>
                <w:lang w:val="uk-UA" w:eastAsia="uk-UA"/>
              </w:rPr>
              <w:t>ДК 021:2015 код 09120000-6  Газове паливо</w:t>
            </w:r>
          </w:p>
        </w:tc>
      </w:tr>
      <w:tr w:rsidR="005D221E" w:rsidTr="00B75874">
        <w:tc>
          <w:tcPr>
            <w:tcW w:w="1838" w:type="dxa"/>
            <w:shd w:val="clear" w:color="auto" w:fill="auto"/>
          </w:tcPr>
          <w:p w:rsidR="005D221E" w:rsidRPr="00771877" w:rsidRDefault="005D221E" w:rsidP="00B75874">
            <w:pPr>
              <w:rPr>
                <w:rFonts w:ascii="Times New Roman" w:eastAsia="Calibri" w:hAnsi="Times New Roman" w:cs="Times New Roman"/>
                <w:sz w:val="24"/>
                <w:szCs w:val="24"/>
                <w:lang w:val="uk-UA"/>
              </w:rPr>
            </w:pPr>
            <w:r w:rsidRPr="00771877">
              <w:rPr>
                <w:rFonts w:ascii="Times New Roman" w:eastAsia="Calibri" w:hAnsi="Times New Roman" w:cs="Times New Roman"/>
                <w:sz w:val="24"/>
                <w:szCs w:val="24"/>
                <w:lang w:val="uk-UA"/>
              </w:rPr>
              <w:t>Вид та ідентифікатор процедури закупівлі</w:t>
            </w:r>
          </w:p>
        </w:tc>
        <w:tc>
          <w:tcPr>
            <w:tcW w:w="7507" w:type="dxa"/>
            <w:shd w:val="clear" w:color="auto" w:fill="auto"/>
          </w:tcPr>
          <w:p w:rsidR="005D221E" w:rsidRPr="00771877" w:rsidRDefault="005D221E" w:rsidP="00B75874">
            <w:pPr>
              <w:suppressAutoHyphens w:val="0"/>
              <w:spacing w:line="240" w:lineRule="atLeast"/>
              <w:rPr>
                <w:rFonts w:ascii="Times New Roman" w:eastAsia="Calibri" w:hAnsi="Times New Roman" w:cs="Times New Roman"/>
                <w:color w:val="6D6D6D"/>
                <w:szCs w:val="28"/>
                <w:lang w:val="uk-UA" w:eastAsia="uk-UA"/>
              </w:rPr>
            </w:pPr>
            <w:r w:rsidRPr="00771877">
              <w:rPr>
                <w:rFonts w:ascii="Times New Roman" w:eastAsia="Calibri" w:hAnsi="Times New Roman" w:cs="Times New Roman"/>
                <w:szCs w:val="28"/>
                <w:lang w:val="uk-UA"/>
              </w:rPr>
              <w:t xml:space="preserve">Відкриті торги </w:t>
            </w:r>
            <w:hyperlink r:id="rId4" w:tgtFrame="_blank" w:tooltip="Оголошення на порталі Уповноваженого органу" w:history="1">
              <w:r w:rsidRPr="00771877">
                <w:rPr>
                  <w:rStyle w:val="js-apiid"/>
                  <w:rFonts w:ascii="Times New Roman" w:eastAsia="Calibri" w:hAnsi="Times New Roman" w:cs="Times New Roman"/>
                  <w:color w:val="000000"/>
                  <w:szCs w:val="28"/>
                  <w:bdr w:val="none" w:sz="0" w:space="0" w:color="auto" w:frame="1"/>
                </w:rPr>
                <w:t>UA-2022-11-28-001912-a</w:t>
              </w:r>
            </w:hyperlink>
          </w:p>
          <w:p w:rsidR="005D221E" w:rsidRPr="00771877" w:rsidRDefault="005D221E" w:rsidP="00B75874">
            <w:pPr>
              <w:rPr>
                <w:rFonts w:ascii="Times New Roman" w:eastAsia="Calibri" w:hAnsi="Times New Roman" w:cs="Times New Roman"/>
                <w:sz w:val="24"/>
                <w:szCs w:val="24"/>
                <w:lang w:val="uk-UA"/>
              </w:rPr>
            </w:pPr>
          </w:p>
          <w:p w:rsidR="005D221E" w:rsidRPr="00771877" w:rsidRDefault="005D221E" w:rsidP="00B75874">
            <w:pPr>
              <w:suppressAutoHyphens w:val="0"/>
              <w:spacing w:line="240" w:lineRule="atLeast"/>
              <w:rPr>
                <w:rFonts w:ascii="Times New Roman" w:eastAsia="Calibri" w:hAnsi="Times New Roman" w:cs="Times New Roman"/>
                <w:sz w:val="24"/>
                <w:szCs w:val="24"/>
                <w:lang w:val="uk-UA"/>
              </w:rPr>
            </w:pPr>
          </w:p>
        </w:tc>
      </w:tr>
      <w:tr w:rsidR="005D221E" w:rsidTr="00B75874">
        <w:trPr>
          <w:trHeight w:val="1424"/>
        </w:trPr>
        <w:tc>
          <w:tcPr>
            <w:tcW w:w="1838" w:type="dxa"/>
            <w:shd w:val="clear" w:color="auto" w:fill="auto"/>
          </w:tcPr>
          <w:p w:rsidR="005D221E" w:rsidRPr="00771877" w:rsidRDefault="005D221E" w:rsidP="00B75874">
            <w:pPr>
              <w:rPr>
                <w:rFonts w:ascii="Times New Roman" w:eastAsia="Calibri" w:hAnsi="Times New Roman" w:cs="Times New Roman"/>
                <w:sz w:val="24"/>
                <w:szCs w:val="24"/>
                <w:lang w:val="uk-UA"/>
              </w:rPr>
            </w:pPr>
            <w:r w:rsidRPr="00771877">
              <w:rPr>
                <w:rFonts w:ascii="Times New Roman" w:eastAsia="Calibri" w:hAnsi="Times New Roman" w:cs="Times New Roman"/>
                <w:sz w:val="24"/>
                <w:szCs w:val="24"/>
                <w:lang w:val="uk-UA"/>
              </w:rPr>
              <w:t>Очікувана вартість предмета закупівлі</w:t>
            </w:r>
          </w:p>
        </w:tc>
        <w:tc>
          <w:tcPr>
            <w:tcW w:w="7507" w:type="dxa"/>
            <w:shd w:val="clear" w:color="auto" w:fill="auto"/>
          </w:tcPr>
          <w:p w:rsidR="005D221E" w:rsidRPr="00771877" w:rsidRDefault="005D221E" w:rsidP="00B75874">
            <w:pPr>
              <w:rPr>
                <w:rFonts w:ascii="Times New Roman" w:eastAsia="Calibri" w:hAnsi="Times New Roman" w:cs="Times New Roman"/>
                <w:color w:val="000000"/>
                <w:szCs w:val="28"/>
                <w:lang w:val="uk-UA"/>
              </w:rPr>
            </w:pPr>
            <w:r w:rsidRPr="00771877">
              <w:rPr>
                <w:rFonts w:ascii="Times New Roman" w:eastAsia="Calibri" w:hAnsi="Times New Roman" w:cs="Times New Roman"/>
                <w:color w:val="000000"/>
                <w:sz w:val="24"/>
                <w:szCs w:val="24"/>
                <w:bdr w:val="none" w:sz="0" w:space="0" w:color="auto" w:frame="1"/>
                <w:shd w:val="clear" w:color="auto" w:fill="FFFFFF"/>
              </w:rPr>
              <w:br/>
            </w:r>
            <w:r w:rsidRPr="00771877">
              <w:rPr>
                <w:rStyle w:val="qabuget"/>
                <w:rFonts w:ascii="Times New Roman" w:eastAsia="Calibri" w:hAnsi="Times New Roman" w:cs="Times New Roman"/>
                <w:szCs w:val="28"/>
                <w:bdr w:val="none" w:sz="0" w:space="0" w:color="auto" w:frame="1"/>
                <w:lang w:val="uk-UA"/>
              </w:rPr>
              <w:t>1 208 433.97</w:t>
            </w:r>
            <w:r w:rsidRPr="00771877">
              <w:rPr>
                <w:rFonts w:ascii="Times New Roman" w:eastAsia="Calibri" w:hAnsi="Times New Roman" w:cs="Times New Roman"/>
                <w:color w:val="000000"/>
                <w:szCs w:val="28"/>
                <w:shd w:val="clear" w:color="auto" w:fill="FFFFFF"/>
              </w:rPr>
              <w:t> </w:t>
            </w:r>
            <w:proofErr w:type="spellStart"/>
            <w:r w:rsidRPr="00771877">
              <w:rPr>
                <w:rStyle w:val="qacode"/>
                <w:rFonts w:ascii="Times New Roman" w:eastAsia="Calibri" w:hAnsi="Times New Roman" w:cs="Times New Roman"/>
                <w:color w:val="000000"/>
                <w:szCs w:val="28"/>
                <w:bdr w:val="none" w:sz="0" w:space="0" w:color="auto" w:frame="1"/>
                <w:shd w:val="clear" w:color="auto" w:fill="FFFFFF"/>
              </w:rPr>
              <w:t>грн</w:t>
            </w:r>
            <w:proofErr w:type="spellEnd"/>
            <w:r w:rsidRPr="00771877">
              <w:rPr>
                <w:rFonts w:ascii="Times New Roman" w:eastAsia="Calibri" w:hAnsi="Times New Roman" w:cs="Times New Roman"/>
                <w:color w:val="000000"/>
                <w:szCs w:val="28"/>
                <w:shd w:val="clear" w:color="auto" w:fill="FFFFFF"/>
              </w:rPr>
              <w:t> </w:t>
            </w:r>
            <w:r w:rsidRPr="00771877">
              <w:rPr>
                <w:rFonts w:ascii="Times New Roman" w:eastAsia="Calibri" w:hAnsi="Times New Roman" w:cs="Times New Roman"/>
                <w:color w:val="000000"/>
                <w:szCs w:val="28"/>
                <w:bdr w:val="none" w:sz="0" w:space="0" w:color="auto" w:frame="1"/>
                <w:shd w:val="clear" w:color="auto" w:fill="FFFFFF"/>
              </w:rPr>
              <w:t>з ПДВ</w:t>
            </w:r>
            <w:r w:rsidRPr="00771877">
              <w:rPr>
                <w:rFonts w:ascii="Times New Roman" w:eastAsia="Calibri" w:hAnsi="Times New Roman" w:cs="Times New Roman"/>
                <w:color w:val="000000"/>
                <w:szCs w:val="28"/>
                <w:bdr w:val="none" w:sz="0" w:space="0" w:color="auto" w:frame="1"/>
                <w:shd w:val="clear" w:color="auto" w:fill="FFFFFF"/>
                <w:lang w:val="uk-UA"/>
              </w:rPr>
              <w:t xml:space="preserve"> (один мільйон двісті вісім тисяч чотириста тридцять три грн. 97 коп.)</w:t>
            </w:r>
          </w:p>
        </w:tc>
      </w:tr>
      <w:tr w:rsidR="005D221E" w:rsidTr="00B75874">
        <w:trPr>
          <w:trHeight w:val="1424"/>
        </w:trPr>
        <w:tc>
          <w:tcPr>
            <w:tcW w:w="1838" w:type="dxa"/>
            <w:shd w:val="clear" w:color="auto" w:fill="auto"/>
          </w:tcPr>
          <w:p w:rsidR="005D221E" w:rsidRPr="00771877" w:rsidRDefault="005D221E" w:rsidP="00B7587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Місце поставки товару</w:t>
            </w:r>
          </w:p>
        </w:tc>
        <w:tc>
          <w:tcPr>
            <w:tcW w:w="7507" w:type="dxa"/>
            <w:shd w:val="clear" w:color="auto" w:fill="auto"/>
          </w:tcPr>
          <w:p w:rsidR="005D221E" w:rsidRPr="00166543" w:rsidRDefault="005D221E" w:rsidP="00B75874">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lang w:val="uk-UA" w:eastAsia="uk-UA"/>
              </w:rPr>
            </w:pPr>
            <w:r w:rsidRPr="00166543">
              <w:rPr>
                <w:rFonts w:ascii="Times New Roman" w:hAnsi="Times New Roman"/>
                <w:sz w:val="28"/>
                <w:szCs w:val="28"/>
              </w:rPr>
              <w:t xml:space="preserve"> </w:t>
            </w:r>
            <w:r w:rsidRPr="00166543">
              <w:rPr>
                <w:rFonts w:ascii="Times New Roman" w:hAnsi="Times New Roman"/>
                <w:color w:val="000000"/>
                <w:sz w:val="28"/>
                <w:szCs w:val="28"/>
                <w:lang w:val="uk-UA" w:eastAsia="uk-UA"/>
              </w:rPr>
              <w:t xml:space="preserve">Межі балансової належності об’єкта Замовника торгів, який знаходиться за </w:t>
            </w:r>
            <w:proofErr w:type="spellStart"/>
            <w:r w:rsidRPr="00166543">
              <w:rPr>
                <w:rFonts w:ascii="Times New Roman" w:hAnsi="Times New Roman"/>
                <w:color w:val="000000"/>
                <w:sz w:val="28"/>
                <w:szCs w:val="28"/>
                <w:lang w:val="uk-UA" w:eastAsia="uk-UA"/>
              </w:rPr>
              <w:t>адресою</w:t>
            </w:r>
            <w:proofErr w:type="spellEnd"/>
            <w:r w:rsidRPr="00166543">
              <w:rPr>
                <w:rFonts w:ascii="Times New Roman" w:hAnsi="Times New Roman"/>
                <w:color w:val="000000"/>
                <w:sz w:val="28"/>
                <w:szCs w:val="28"/>
                <w:lang w:val="uk-UA" w:eastAsia="uk-UA"/>
              </w:rPr>
              <w:t>:</w:t>
            </w:r>
            <w:r w:rsidRPr="00166543">
              <w:rPr>
                <w:rFonts w:ascii="Times New Roman" w:hAnsi="Times New Roman"/>
                <w:b/>
                <w:color w:val="000000"/>
                <w:sz w:val="28"/>
                <w:szCs w:val="28"/>
                <w:lang w:val="uk-UA" w:eastAsia="uk-UA"/>
              </w:rPr>
              <w:t xml:space="preserve"> </w:t>
            </w:r>
            <w:r w:rsidRPr="00166543">
              <w:rPr>
                <w:rFonts w:ascii="Times New Roman" w:hAnsi="Times New Roman"/>
                <w:color w:val="000000"/>
                <w:sz w:val="28"/>
                <w:szCs w:val="28"/>
                <w:lang w:val="uk-UA" w:eastAsia="uk-UA"/>
              </w:rPr>
              <w:t>вул. Лісна, 5 с. Розсудів, Чернігівський район, Чернігівська область, 15044;</w:t>
            </w:r>
          </w:p>
          <w:p w:rsidR="005D221E" w:rsidRPr="00771877" w:rsidRDefault="005D221E" w:rsidP="00B75874">
            <w:pPr>
              <w:rPr>
                <w:rFonts w:ascii="Times New Roman" w:eastAsia="Calibri" w:hAnsi="Times New Roman" w:cs="Times New Roman"/>
                <w:color w:val="000000"/>
                <w:sz w:val="24"/>
                <w:szCs w:val="24"/>
                <w:bdr w:val="none" w:sz="0" w:space="0" w:color="auto" w:frame="1"/>
                <w:shd w:val="clear" w:color="auto" w:fill="FFFFFF"/>
              </w:rPr>
            </w:pPr>
          </w:p>
        </w:tc>
      </w:tr>
      <w:tr w:rsidR="005D221E" w:rsidTr="00B75874">
        <w:trPr>
          <w:trHeight w:val="1424"/>
        </w:trPr>
        <w:tc>
          <w:tcPr>
            <w:tcW w:w="1838" w:type="dxa"/>
            <w:shd w:val="clear" w:color="auto" w:fill="auto"/>
          </w:tcPr>
          <w:p w:rsidR="005D221E" w:rsidRDefault="005D221E" w:rsidP="00B7587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Строк поставки товару</w:t>
            </w:r>
          </w:p>
        </w:tc>
        <w:tc>
          <w:tcPr>
            <w:tcW w:w="7507" w:type="dxa"/>
            <w:shd w:val="clear" w:color="auto" w:fill="auto"/>
          </w:tcPr>
          <w:p w:rsidR="005D221E" w:rsidRPr="00166543" w:rsidRDefault="005D221E" w:rsidP="00B75874">
            <w:pPr>
              <w:pStyle w:val="a4"/>
              <w:spacing w:after="0"/>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З</w:t>
            </w:r>
            <w:r w:rsidRPr="00166543">
              <w:rPr>
                <w:rFonts w:ascii="Times New Roman" w:hAnsi="Times New Roman"/>
                <w:sz w:val="28"/>
                <w:szCs w:val="28"/>
                <w:lang w:val="uk-UA"/>
              </w:rPr>
              <w:t xml:space="preserve"> 01</w:t>
            </w:r>
            <w:r w:rsidRPr="00166543">
              <w:rPr>
                <w:rFonts w:ascii="Times New Roman" w:hAnsi="Times New Roman"/>
                <w:sz w:val="28"/>
                <w:szCs w:val="28"/>
              </w:rPr>
              <w:t xml:space="preserve"> </w:t>
            </w:r>
            <w:r>
              <w:rPr>
                <w:rFonts w:ascii="Times New Roman" w:hAnsi="Times New Roman"/>
                <w:sz w:val="28"/>
                <w:szCs w:val="28"/>
                <w:lang w:val="uk-UA"/>
              </w:rPr>
              <w:t>січ</w:t>
            </w:r>
            <w:r w:rsidRPr="00166543">
              <w:rPr>
                <w:rFonts w:ascii="Times New Roman" w:hAnsi="Times New Roman"/>
                <w:sz w:val="28"/>
                <w:szCs w:val="28"/>
                <w:lang w:val="uk-UA"/>
              </w:rPr>
              <w:t>ня</w:t>
            </w:r>
            <w:r>
              <w:rPr>
                <w:rFonts w:ascii="Times New Roman" w:hAnsi="Times New Roman"/>
                <w:sz w:val="28"/>
                <w:szCs w:val="28"/>
                <w:lang w:val="uk-UA"/>
              </w:rPr>
              <w:t xml:space="preserve"> до  31 березня 2023</w:t>
            </w:r>
            <w:r w:rsidRPr="00166543">
              <w:rPr>
                <w:rFonts w:ascii="Times New Roman" w:hAnsi="Times New Roman"/>
                <w:sz w:val="28"/>
                <w:szCs w:val="28"/>
              </w:rPr>
              <w:t xml:space="preserve"> </w:t>
            </w:r>
            <w:proofErr w:type="spellStart"/>
            <w:r w:rsidRPr="00166543">
              <w:rPr>
                <w:rFonts w:ascii="Times New Roman" w:hAnsi="Times New Roman"/>
                <w:sz w:val="28"/>
                <w:szCs w:val="28"/>
              </w:rPr>
              <w:t>року</w:t>
            </w:r>
            <w:proofErr w:type="spellEnd"/>
            <w:r w:rsidRPr="00166543">
              <w:rPr>
                <w:rFonts w:ascii="Times New Roman" w:hAnsi="Times New Roman"/>
                <w:sz w:val="28"/>
                <w:szCs w:val="28"/>
              </w:rPr>
              <w:t>.</w:t>
            </w:r>
          </w:p>
          <w:p w:rsidR="005D221E" w:rsidRPr="00166543" w:rsidRDefault="005D221E" w:rsidP="00B75874">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rPr>
            </w:pPr>
          </w:p>
        </w:tc>
      </w:tr>
      <w:tr w:rsidR="005D221E" w:rsidTr="00B75874">
        <w:trPr>
          <w:trHeight w:val="1424"/>
        </w:trPr>
        <w:tc>
          <w:tcPr>
            <w:tcW w:w="1838" w:type="dxa"/>
            <w:shd w:val="clear" w:color="auto" w:fill="auto"/>
          </w:tcPr>
          <w:p w:rsidR="005D221E" w:rsidRDefault="005D221E" w:rsidP="00B7587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Кількість </w:t>
            </w:r>
          </w:p>
        </w:tc>
        <w:tc>
          <w:tcPr>
            <w:tcW w:w="7507" w:type="dxa"/>
            <w:shd w:val="clear" w:color="auto" w:fill="auto"/>
          </w:tcPr>
          <w:p w:rsidR="005D221E" w:rsidRPr="00B15D87" w:rsidRDefault="005D221E" w:rsidP="00B75874">
            <w:pPr>
              <w:pStyle w:val="a4"/>
              <w:spacing w:after="0"/>
              <w:ind w:left="0"/>
              <w:jc w:val="both"/>
              <w:rPr>
                <w:rFonts w:ascii="Times New Roman" w:hAnsi="Times New Roman"/>
                <w:sz w:val="28"/>
                <w:szCs w:val="28"/>
                <w:lang w:val="uk-UA"/>
              </w:rPr>
            </w:pPr>
            <w:r>
              <w:rPr>
                <w:rFonts w:ascii="Times New Roman" w:hAnsi="Times New Roman"/>
                <w:sz w:val="28"/>
                <w:szCs w:val="28"/>
                <w:lang w:val="uk-UA"/>
              </w:rPr>
              <w:t>73000.00 м. куб.</w:t>
            </w:r>
          </w:p>
        </w:tc>
      </w:tr>
      <w:tr w:rsidR="005D221E" w:rsidRPr="00114118" w:rsidTr="00B75874">
        <w:tc>
          <w:tcPr>
            <w:tcW w:w="1838" w:type="dxa"/>
            <w:shd w:val="clear" w:color="auto" w:fill="auto"/>
          </w:tcPr>
          <w:p w:rsidR="005D221E" w:rsidRPr="00771877" w:rsidRDefault="005D221E" w:rsidP="00B75874">
            <w:pPr>
              <w:jc w:val="both"/>
              <w:rPr>
                <w:rFonts w:ascii="Times New Roman" w:eastAsia="Calibri" w:hAnsi="Times New Roman" w:cs="Times New Roman"/>
                <w:sz w:val="24"/>
                <w:szCs w:val="24"/>
                <w:lang w:val="uk-UA"/>
              </w:rPr>
            </w:pPr>
            <w:r w:rsidRPr="00771877">
              <w:rPr>
                <w:rFonts w:ascii="Times New Roman" w:eastAsia="Calibri" w:hAnsi="Times New Roman" w:cs="Times New Roman"/>
                <w:sz w:val="24"/>
                <w:szCs w:val="24"/>
                <w:lang w:val="uk-UA"/>
              </w:rPr>
              <w:t>Обґрунтування технічних та якісних характеристик предмета закупівлі</w:t>
            </w:r>
          </w:p>
        </w:tc>
        <w:tc>
          <w:tcPr>
            <w:tcW w:w="7507" w:type="dxa"/>
            <w:shd w:val="clear" w:color="auto" w:fill="auto"/>
          </w:tcPr>
          <w:p w:rsidR="005D221E" w:rsidRPr="00771877" w:rsidRDefault="005D221E" w:rsidP="00B75874">
            <w:pPr>
              <w:shd w:val="clear" w:color="auto" w:fill="FFFFFF"/>
              <w:ind w:firstLine="567"/>
              <w:jc w:val="both"/>
              <w:textAlignment w:val="baseline"/>
              <w:rPr>
                <w:rFonts w:ascii="Times New Roman" w:hAnsi="Times New Roman"/>
                <w:szCs w:val="28"/>
                <w:lang w:val="uk-UA" w:eastAsia="uk-UA"/>
              </w:rPr>
            </w:pPr>
            <w:r w:rsidRPr="00771877">
              <w:rPr>
                <w:rFonts w:ascii="Times New Roman" w:hAnsi="Times New Roman"/>
                <w:szCs w:val="28"/>
                <w:lang w:val="uk-UA" w:eastAsia="uk-UA"/>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rsidR="005D221E" w:rsidRPr="00771877" w:rsidRDefault="005D221E" w:rsidP="00B75874">
            <w:pPr>
              <w:tabs>
                <w:tab w:val="center" w:pos="4677"/>
                <w:tab w:val="right" w:pos="9355"/>
              </w:tabs>
              <w:ind w:firstLine="567"/>
              <w:jc w:val="both"/>
              <w:rPr>
                <w:rFonts w:ascii="Times New Roman" w:hAnsi="Times New Roman"/>
                <w:szCs w:val="28"/>
                <w:lang w:val="uk-UA" w:eastAsia="ru-RU"/>
              </w:rPr>
            </w:pPr>
            <w:r w:rsidRPr="00771877">
              <w:rPr>
                <w:rFonts w:ascii="Times New Roman" w:hAnsi="Times New Roman"/>
                <w:b/>
                <w:szCs w:val="28"/>
                <w:lang w:val="uk-UA" w:eastAsia="ru-RU"/>
              </w:rPr>
              <w:lastRenderedPageBreak/>
              <w:t>3.Фізико-хімічні показники природного газу</w:t>
            </w:r>
            <w:r w:rsidRPr="00771877">
              <w:rPr>
                <w:rFonts w:ascii="Times New Roman" w:hAnsi="Times New Roman"/>
                <w:szCs w:val="28"/>
                <w:lang w:val="uk-UA" w:eastAsia="ru-RU"/>
              </w:rPr>
              <w:t>, який передається Постачальником Споживачеві у пунктах приймання-передачі повинні відповідати вимогам, визначеним розділом ІІІ Кодексу ГТС та Кодексом ГРМ.</w:t>
            </w:r>
          </w:p>
          <w:p w:rsidR="005D221E" w:rsidRPr="00771877" w:rsidRDefault="005D221E" w:rsidP="00B75874">
            <w:pPr>
              <w:tabs>
                <w:tab w:val="center" w:pos="4677"/>
                <w:tab w:val="right" w:pos="9355"/>
              </w:tabs>
              <w:jc w:val="both"/>
              <w:rPr>
                <w:rFonts w:ascii="Times New Roman" w:hAnsi="Times New Roman"/>
                <w:szCs w:val="28"/>
                <w:lang w:val="uk-UA" w:eastAsia="ru-RU"/>
              </w:rPr>
            </w:pPr>
            <w:r w:rsidRPr="00771877">
              <w:rPr>
                <w:szCs w:val="28"/>
                <w:lang w:val="uk-UA" w:eastAsia="ru-RU"/>
              </w:rPr>
              <w:t xml:space="preserve"> </w:t>
            </w:r>
            <w:r w:rsidRPr="00771877">
              <w:rPr>
                <w:rFonts w:ascii="Times New Roman" w:hAnsi="Times New Roman"/>
                <w:szCs w:val="28"/>
                <w:lang w:val="uk-UA" w:eastAsia="ru-RU"/>
              </w:rPr>
              <w:t>Постачальник передає Споживачу у загальному потоці природний газ у внутрішній точці виходу з газотранспортної системи.</w:t>
            </w:r>
          </w:p>
          <w:p w:rsidR="005D221E" w:rsidRPr="00771877" w:rsidRDefault="005D221E" w:rsidP="00B75874">
            <w:pPr>
              <w:contextualSpacing/>
              <w:jc w:val="both"/>
              <w:rPr>
                <w:rFonts w:ascii="Times New Roman" w:hAnsi="Times New Roman"/>
                <w:szCs w:val="28"/>
                <w:lang w:val="uk-UA" w:eastAsia="uk-UA"/>
              </w:rPr>
            </w:pPr>
            <w:bookmarkStart w:id="0" w:name="_Ref24688352"/>
            <w:r w:rsidRPr="00771877">
              <w:rPr>
                <w:rFonts w:ascii="Times New Roman" w:hAnsi="Times New Roman"/>
                <w:szCs w:val="28"/>
                <w:lang w:val="uk-UA" w:eastAsia="uk-UA"/>
              </w:rPr>
              <w:t>Фізико-хімічні показники природного газу повинні відповідати вимогам та нормам, які зазначені у наведеній нижче таблиці:</w:t>
            </w:r>
            <w:bookmarkEnd w:id="0"/>
          </w:p>
          <w:p w:rsidR="005D221E" w:rsidRPr="00771877" w:rsidRDefault="005D221E" w:rsidP="00B75874">
            <w:pPr>
              <w:contextualSpacing/>
              <w:jc w:val="right"/>
              <w:rPr>
                <w:rFonts w:ascii="Times New Roman" w:hAnsi="Times New Roman"/>
                <w:sz w:val="24"/>
                <w:szCs w:val="24"/>
                <w:lang w:val="uk-UA" w:eastAsia="uk-UA"/>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61"/>
              <w:gridCol w:w="1547"/>
              <w:gridCol w:w="1500"/>
            </w:tblGrid>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spacing w:line="360" w:lineRule="atLeast"/>
                    <w:rPr>
                      <w:rFonts w:ascii="Times New Roman" w:hAnsi="Times New Roman"/>
                      <w:sz w:val="24"/>
                      <w:szCs w:val="24"/>
                      <w:lang w:val="uk-UA" w:eastAsia="ru-RU"/>
                    </w:rPr>
                  </w:pPr>
                  <w:r w:rsidRPr="00AB7D29">
                    <w:rPr>
                      <w:rFonts w:ascii="Times New Roman" w:hAnsi="Times New Roman"/>
                      <w:sz w:val="24"/>
                      <w:szCs w:val="24"/>
                      <w:lang w:val="uk-UA" w:eastAsia="ru-RU"/>
                    </w:rPr>
                    <w:t>Найменування показника</w:t>
                  </w:r>
                </w:p>
              </w:tc>
              <w:tc>
                <w:tcPr>
                  <w:tcW w:w="1842" w:type="dxa"/>
                  <w:shd w:val="clear" w:color="auto" w:fill="FFFFFF"/>
                  <w:tcMar>
                    <w:top w:w="30" w:type="dxa"/>
                    <w:left w:w="30" w:type="dxa"/>
                    <w:bottom w:w="30" w:type="dxa"/>
                    <w:right w:w="30" w:type="dxa"/>
                  </w:tcMar>
                  <w:hideMark/>
                </w:tcPr>
                <w:p w:rsidR="005D221E" w:rsidRPr="00AB7D29" w:rsidRDefault="005D221E" w:rsidP="00B75874">
                  <w:pPr>
                    <w:spacing w:line="360" w:lineRule="atLeast"/>
                    <w:rPr>
                      <w:rFonts w:ascii="Times New Roman" w:hAnsi="Times New Roman"/>
                      <w:sz w:val="24"/>
                      <w:szCs w:val="24"/>
                      <w:lang w:val="uk-UA" w:eastAsia="ru-RU"/>
                    </w:rPr>
                  </w:pPr>
                  <w:r w:rsidRPr="00AB7D29">
                    <w:rPr>
                      <w:rFonts w:ascii="Times New Roman" w:hAnsi="Times New Roman"/>
                      <w:sz w:val="24"/>
                      <w:szCs w:val="24"/>
                      <w:lang w:val="uk-UA" w:eastAsia="ru-RU"/>
                    </w:rPr>
                    <w:t>Норма</w:t>
                  </w:r>
                </w:p>
              </w:tc>
              <w:tc>
                <w:tcPr>
                  <w:tcW w:w="80" w:type="dxa"/>
                  <w:shd w:val="clear" w:color="auto" w:fill="FFFFFF"/>
                  <w:tcMar>
                    <w:top w:w="30" w:type="dxa"/>
                    <w:left w:w="30" w:type="dxa"/>
                    <w:bottom w:w="30" w:type="dxa"/>
                    <w:right w:w="30" w:type="dxa"/>
                  </w:tcMar>
                  <w:hideMark/>
                </w:tcPr>
                <w:p w:rsidR="005D221E" w:rsidRPr="00AB7D29" w:rsidRDefault="005D221E" w:rsidP="00B75874">
                  <w:pPr>
                    <w:spacing w:line="360" w:lineRule="atLeast"/>
                    <w:rPr>
                      <w:rFonts w:ascii="Times New Roman" w:hAnsi="Times New Roman"/>
                      <w:sz w:val="24"/>
                      <w:szCs w:val="24"/>
                      <w:lang w:val="uk-UA" w:eastAsia="ru-RU"/>
                    </w:rPr>
                  </w:pPr>
                  <w:r w:rsidRPr="00AB7D29">
                    <w:rPr>
                      <w:rFonts w:ascii="Times New Roman" w:hAnsi="Times New Roman"/>
                      <w:sz w:val="24"/>
                      <w:szCs w:val="24"/>
                      <w:lang w:val="uk-UA" w:eastAsia="ru-RU"/>
                    </w:rPr>
                    <w:t>Метод випробування</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 xml:space="preserve">1. Теплота згоряння нижча, </w:t>
                  </w:r>
                  <w:proofErr w:type="spellStart"/>
                  <w:r w:rsidRPr="00AB7D29">
                    <w:rPr>
                      <w:rFonts w:ascii="Times New Roman" w:hAnsi="Times New Roman"/>
                      <w:sz w:val="24"/>
                      <w:szCs w:val="24"/>
                      <w:lang w:val="uk-UA" w:eastAsia="ru-RU"/>
                    </w:rPr>
                    <w:t>МДж</w:t>
                  </w:r>
                  <w:proofErr w:type="spellEnd"/>
                  <w:r w:rsidRPr="00AB7D29">
                    <w:rPr>
                      <w:rFonts w:ascii="Times New Roman" w:hAnsi="Times New Roman"/>
                      <w:sz w:val="24"/>
                      <w:szCs w:val="24"/>
                      <w:lang w:val="uk-UA" w:eastAsia="ru-RU"/>
                    </w:rPr>
                    <w:t xml:space="preserve"> / м3 (ккал / м3), при 20 ° С 101,325 кПа, не менше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31,8</w:t>
                  </w:r>
                  <w:r w:rsidRPr="00AB7D29">
                    <w:rPr>
                      <w:rFonts w:ascii="Times New Roman" w:hAnsi="Times New Roman"/>
                      <w:sz w:val="24"/>
                      <w:szCs w:val="24"/>
                      <w:lang w:val="uk-UA" w:eastAsia="ru-RU"/>
                    </w:rPr>
                    <w:br/>
                    <w:t>(7600)</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27193-86</w:t>
                  </w:r>
                  <w:r w:rsidRPr="00AB7D29">
                    <w:rPr>
                      <w:rFonts w:ascii="Times New Roman" w:hAnsi="Times New Roman"/>
                      <w:sz w:val="24"/>
                      <w:szCs w:val="24"/>
                      <w:lang w:val="uk-UA" w:eastAsia="ru-RU"/>
                    </w:rPr>
                    <w:br/>
                    <w:t>ГОСТ 22667-82</w:t>
                  </w:r>
                  <w:r w:rsidRPr="00AB7D29">
                    <w:rPr>
                      <w:rFonts w:ascii="Times New Roman" w:hAnsi="Times New Roman"/>
                      <w:sz w:val="24"/>
                      <w:szCs w:val="24"/>
                      <w:lang w:val="uk-UA" w:eastAsia="ru-RU"/>
                    </w:rPr>
                    <w:br/>
                    <w:t>ГОСТ 10062-75</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 xml:space="preserve">2. Область значень числа </w:t>
                  </w:r>
                  <w:proofErr w:type="spellStart"/>
                  <w:r w:rsidRPr="00AB7D29">
                    <w:rPr>
                      <w:rFonts w:ascii="Times New Roman" w:hAnsi="Times New Roman"/>
                      <w:sz w:val="24"/>
                      <w:szCs w:val="24"/>
                      <w:lang w:val="uk-UA" w:eastAsia="ru-RU"/>
                    </w:rPr>
                    <w:t>Воббе</w:t>
                  </w:r>
                  <w:proofErr w:type="spellEnd"/>
                  <w:r w:rsidRPr="00AB7D29">
                    <w:rPr>
                      <w:rFonts w:ascii="Times New Roman" w:hAnsi="Times New Roman"/>
                      <w:sz w:val="24"/>
                      <w:szCs w:val="24"/>
                      <w:lang w:val="uk-UA" w:eastAsia="ru-RU"/>
                    </w:rPr>
                    <w:t xml:space="preserve"> (вищого) </w:t>
                  </w:r>
                  <w:proofErr w:type="spellStart"/>
                  <w:r w:rsidRPr="00AB7D29">
                    <w:rPr>
                      <w:rFonts w:ascii="Times New Roman" w:hAnsi="Times New Roman"/>
                      <w:sz w:val="24"/>
                      <w:szCs w:val="24"/>
                      <w:lang w:val="uk-UA" w:eastAsia="ru-RU"/>
                    </w:rPr>
                    <w:t>МДж</w:t>
                  </w:r>
                  <w:proofErr w:type="spellEnd"/>
                  <w:r w:rsidRPr="00AB7D29">
                    <w:rPr>
                      <w:rFonts w:ascii="Times New Roman" w:hAnsi="Times New Roman"/>
                      <w:sz w:val="24"/>
                      <w:szCs w:val="24"/>
                      <w:lang w:val="uk-UA" w:eastAsia="ru-RU"/>
                    </w:rPr>
                    <w:t>/м</w:t>
                  </w:r>
                  <w:r w:rsidRPr="00AB7D29">
                    <w:rPr>
                      <w:rFonts w:ascii="Times New Roman" w:hAnsi="Times New Roman"/>
                      <w:sz w:val="24"/>
                      <w:szCs w:val="24"/>
                      <w:bdr w:val="none" w:sz="0" w:space="0" w:color="auto" w:frame="1"/>
                      <w:vertAlign w:val="superscript"/>
                      <w:lang w:val="uk-UA" w:eastAsia="ru-RU"/>
                    </w:rPr>
                    <w:t>3</w:t>
                  </w:r>
                  <w:r w:rsidRPr="00AB7D29">
                    <w:rPr>
                      <w:rFonts w:ascii="Times New Roman" w:hAnsi="Times New Roman"/>
                      <w:sz w:val="24"/>
                      <w:szCs w:val="24"/>
                      <w:lang w:val="uk-UA" w:eastAsia="ru-RU"/>
                    </w:rPr>
                    <w:t> (ккал/м</w:t>
                  </w:r>
                  <w:r w:rsidRPr="00AB7D29">
                    <w:rPr>
                      <w:rFonts w:ascii="Times New Roman" w:hAnsi="Times New Roman"/>
                      <w:sz w:val="24"/>
                      <w:szCs w:val="24"/>
                      <w:bdr w:val="none" w:sz="0" w:space="0" w:color="auto" w:frame="1"/>
                      <w:vertAlign w:val="superscript"/>
                      <w:lang w:val="uk-UA" w:eastAsia="ru-RU"/>
                    </w:rPr>
                    <w:t>3</w:t>
                  </w:r>
                  <w:r w:rsidRPr="00AB7D29">
                    <w:rPr>
                      <w:rFonts w:ascii="Times New Roman" w:hAnsi="Times New Roman"/>
                      <w:sz w:val="24"/>
                      <w:szCs w:val="24"/>
                      <w:lang w:val="uk-UA" w:eastAsia="ru-RU"/>
                    </w:rPr>
                    <w:t>)</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41,2-54,5</w:t>
                  </w:r>
                  <w:r w:rsidRPr="00AB7D29">
                    <w:rPr>
                      <w:rFonts w:ascii="Times New Roman" w:hAnsi="Times New Roman"/>
                      <w:sz w:val="24"/>
                      <w:szCs w:val="24"/>
                      <w:lang w:val="uk-UA" w:eastAsia="ru-RU"/>
                    </w:rPr>
                    <w:br/>
                    <w:t>(9850-13000)</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22667-82</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 xml:space="preserve">3. Допустиме відхилення числа </w:t>
                  </w:r>
                  <w:proofErr w:type="spellStart"/>
                  <w:r w:rsidRPr="00AB7D29">
                    <w:rPr>
                      <w:rFonts w:ascii="Times New Roman" w:hAnsi="Times New Roman"/>
                      <w:sz w:val="24"/>
                      <w:szCs w:val="24"/>
                      <w:lang w:val="uk-UA" w:eastAsia="ru-RU"/>
                    </w:rPr>
                    <w:t>Воббе</w:t>
                  </w:r>
                  <w:proofErr w:type="spellEnd"/>
                  <w:r w:rsidRPr="00AB7D29">
                    <w:rPr>
                      <w:rFonts w:ascii="Times New Roman" w:hAnsi="Times New Roman"/>
                      <w:sz w:val="24"/>
                      <w:szCs w:val="24"/>
                      <w:lang w:val="uk-UA" w:eastAsia="ru-RU"/>
                    </w:rPr>
                    <w:t xml:space="preserve"> від номінального значення,%, не більше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±5</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4. Масова концентрація сірководню, г / м3, не більше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0,02</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22387.2-83</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 xml:space="preserve">5. Масова концентрація </w:t>
                  </w:r>
                  <w:proofErr w:type="spellStart"/>
                  <w:r w:rsidRPr="00AB7D29">
                    <w:rPr>
                      <w:rFonts w:ascii="Times New Roman" w:hAnsi="Times New Roman"/>
                      <w:sz w:val="24"/>
                      <w:szCs w:val="24"/>
                      <w:lang w:val="uk-UA" w:eastAsia="ru-RU"/>
                    </w:rPr>
                    <w:t>меркаптанової</w:t>
                  </w:r>
                  <w:proofErr w:type="spellEnd"/>
                  <w:r w:rsidRPr="00AB7D29">
                    <w:rPr>
                      <w:rFonts w:ascii="Times New Roman" w:hAnsi="Times New Roman"/>
                      <w:sz w:val="24"/>
                      <w:szCs w:val="24"/>
                      <w:lang w:val="uk-UA" w:eastAsia="ru-RU"/>
                    </w:rPr>
                    <w:t xml:space="preserve"> сірки, г / м3, не більше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0,036</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22387.2-83</w:t>
                  </w:r>
                  <w:r w:rsidRPr="00AB7D29">
                    <w:rPr>
                      <w:rFonts w:ascii="Times New Roman" w:hAnsi="Times New Roman"/>
                      <w:sz w:val="24"/>
                      <w:szCs w:val="24"/>
                      <w:lang w:val="uk-UA" w:eastAsia="ru-RU"/>
                    </w:rPr>
                    <w:br/>
                    <w:t>ГОСТ 22387.3-77</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6. Об'ємна частка кисню,%, не більше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1,0</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23781-83</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7. Маса механічних домішок в 1 м3, г, не більше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0,001</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22387.4-77</w:t>
                  </w:r>
                </w:p>
              </w:tc>
            </w:tr>
            <w:tr w:rsidR="005D221E" w:rsidRPr="00AB7D29" w:rsidTr="00B75874">
              <w:tc>
                <w:tcPr>
                  <w:tcW w:w="6086"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8. Інтенсивність запаху газу при об'ємній частці 1% в повітрі, бал, не менше</w:t>
                  </w:r>
                </w:p>
              </w:tc>
              <w:tc>
                <w:tcPr>
                  <w:tcW w:w="1842"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3</w:t>
                  </w:r>
                </w:p>
              </w:tc>
              <w:tc>
                <w:tcPr>
                  <w:tcW w:w="80" w:type="dxa"/>
                  <w:shd w:val="clear" w:color="auto" w:fill="FFFFFF"/>
                  <w:tcMar>
                    <w:top w:w="30" w:type="dxa"/>
                    <w:left w:w="30" w:type="dxa"/>
                    <w:bottom w:w="30" w:type="dxa"/>
                    <w:right w:w="30" w:type="dxa"/>
                  </w:tcMar>
                  <w:hideMark/>
                </w:tcPr>
                <w:p w:rsidR="005D221E" w:rsidRPr="00AB7D29" w:rsidRDefault="005D221E" w:rsidP="00B75874">
                  <w:pPr>
                    <w:rPr>
                      <w:rFonts w:ascii="Times New Roman" w:hAnsi="Times New Roman"/>
                      <w:sz w:val="24"/>
                      <w:szCs w:val="24"/>
                      <w:lang w:val="uk-UA" w:eastAsia="ru-RU"/>
                    </w:rPr>
                  </w:pPr>
                  <w:r w:rsidRPr="00AB7D29">
                    <w:rPr>
                      <w:rFonts w:ascii="Times New Roman" w:hAnsi="Times New Roman"/>
                      <w:sz w:val="24"/>
                      <w:szCs w:val="24"/>
                      <w:lang w:val="uk-UA" w:eastAsia="ru-RU"/>
                    </w:rPr>
                    <w:t>ГОСТ 22387.5-77</w:t>
                  </w:r>
                </w:p>
              </w:tc>
            </w:tr>
          </w:tbl>
          <w:p w:rsidR="005D221E" w:rsidRPr="00771877" w:rsidRDefault="005D221E" w:rsidP="00B75874">
            <w:pPr>
              <w:jc w:val="both"/>
              <w:rPr>
                <w:rFonts w:ascii="Times New Roman" w:eastAsia="Calibri" w:hAnsi="Times New Roman" w:cs="Times New Roman"/>
                <w:sz w:val="24"/>
                <w:szCs w:val="24"/>
                <w:lang w:val="uk-UA"/>
              </w:rPr>
            </w:pPr>
          </w:p>
        </w:tc>
      </w:tr>
      <w:tr w:rsidR="005D221E" w:rsidRPr="007C3726" w:rsidTr="00B75874">
        <w:tc>
          <w:tcPr>
            <w:tcW w:w="1838" w:type="dxa"/>
            <w:shd w:val="clear" w:color="auto" w:fill="auto"/>
          </w:tcPr>
          <w:p w:rsidR="005D221E" w:rsidRPr="00771877" w:rsidRDefault="005D221E" w:rsidP="00B75874">
            <w:pPr>
              <w:jc w:val="both"/>
              <w:rPr>
                <w:rFonts w:ascii="Times New Roman" w:eastAsia="Calibri" w:hAnsi="Times New Roman" w:cs="Times New Roman"/>
                <w:sz w:val="24"/>
                <w:szCs w:val="24"/>
                <w:lang w:val="uk-UA"/>
              </w:rPr>
            </w:pPr>
            <w:r w:rsidRPr="00771877">
              <w:rPr>
                <w:rFonts w:ascii="Times New Roman" w:eastAsia="Calibri" w:hAnsi="Times New Roman" w:cs="Times New Roman"/>
                <w:sz w:val="24"/>
                <w:szCs w:val="24"/>
                <w:lang w:val="uk-UA"/>
              </w:rPr>
              <w:lastRenderedPageBreak/>
              <w:t>Обґрунтування очікуваної вартості предмета закупівлі</w:t>
            </w:r>
          </w:p>
        </w:tc>
        <w:tc>
          <w:tcPr>
            <w:tcW w:w="7507" w:type="dxa"/>
            <w:shd w:val="clear" w:color="auto" w:fill="auto"/>
          </w:tcPr>
          <w:p w:rsidR="005D221E" w:rsidRPr="00771877" w:rsidRDefault="005D221E" w:rsidP="00B75874">
            <w:pPr>
              <w:pStyle w:val="a3"/>
              <w:shd w:val="clear" w:color="auto" w:fill="FFFFFF"/>
              <w:spacing w:before="0" w:beforeAutospacing="0" w:after="0" w:afterAutospacing="0"/>
              <w:ind w:firstLine="709"/>
              <w:jc w:val="both"/>
              <w:textAlignment w:val="baseline"/>
              <w:rPr>
                <w:rFonts w:eastAsia="Calibri"/>
                <w:color w:val="000000"/>
                <w:sz w:val="28"/>
                <w:szCs w:val="28"/>
              </w:rPr>
            </w:pPr>
            <w:r w:rsidRPr="00771877">
              <w:rPr>
                <w:rFonts w:eastAsia="Calibri"/>
                <w:color w:val="000000"/>
              </w:rPr>
              <w:t xml:space="preserve"> </w:t>
            </w:r>
            <w:r w:rsidRPr="00771877">
              <w:rPr>
                <w:rFonts w:eastAsia="Calibri"/>
                <w:color w:val="000000"/>
                <w:sz w:val="28"/>
                <w:szCs w:val="28"/>
              </w:rPr>
              <w:t xml:space="preserve">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w:t>
            </w:r>
            <w:proofErr w:type="spellStart"/>
            <w:r w:rsidRPr="00771877">
              <w:rPr>
                <w:rFonts w:eastAsia="Calibri"/>
                <w:color w:val="000000"/>
                <w:sz w:val="28"/>
                <w:szCs w:val="28"/>
              </w:rPr>
              <w:t>закупівель</w:t>
            </w:r>
            <w:proofErr w:type="spellEnd"/>
            <w:r w:rsidRPr="00771877">
              <w:rPr>
                <w:rFonts w:eastAsia="Calibri"/>
                <w:color w:val="000000"/>
                <w:sz w:val="28"/>
                <w:szCs w:val="28"/>
              </w:rPr>
              <w:t>, в тому числі визначення очікуваної вартості, є динамічним та безперервним процесом, що здійснюється Замовниками протягом року.</w:t>
            </w:r>
          </w:p>
          <w:p w:rsidR="005D221E" w:rsidRPr="00771877" w:rsidRDefault="005D221E" w:rsidP="00B75874">
            <w:pPr>
              <w:pStyle w:val="a3"/>
              <w:shd w:val="clear" w:color="auto" w:fill="FFFFFF"/>
              <w:spacing w:before="0" w:beforeAutospacing="0" w:after="0" w:afterAutospacing="0"/>
              <w:ind w:firstLine="709"/>
              <w:jc w:val="both"/>
              <w:textAlignment w:val="baseline"/>
              <w:rPr>
                <w:rFonts w:eastAsia="Calibri"/>
                <w:color w:val="000000"/>
                <w:sz w:val="28"/>
                <w:szCs w:val="28"/>
              </w:rPr>
            </w:pPr>
            <w:r w:rsidRPr="00771877">
              <w:rPr>
                <w:rFonts w:eastAsia="Calibri"/>
                <w:color w:val="000000"/>
                <w:sz w:val="28"/>
                <w:szCs w:val="28"/>
              </w:rPr>
              <w:t xml:space="preserve">19 липня 2022 р.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 (далі – Постанова № 812).  Так, відповідно до підпункту 4 пункту 2 Постанови №812 </w:t>
            </w:r>
            <w:r w:rsidRPr="00771877">
              <w:rPr>
                <w:rFonts w:eastAsia="Calibri"/>
                <w:color w:val="000000"/>
                <w:sz w:val="28"/>
                <w:szCs w:val="28"/>
              </w:rPr>
              <w:lastRenderedPageBreak/>
              <w:t xml:space="preserve">спеціальні обов’язки покладені на ТОВ “Газопостачальна компанія “Нафтогаз </w:t>
            </w:r>
            <w:proofErr w:type="spellStart"/>
            <w:r w:rsidRPr="00771877">
              <w:rPr>
                <w:rFonts w:eastAsia="Calibri"/>
                <w:color w:val="000000"/>
                <w:sz w:val="28"/>
                <w:szCs w:val="28"/>
              </w:rPr>
              <w:t>Трейдинг</w:t>
            </w:r>
            <w:proofErr w:type="spellEnd"/>
            <w:r w:rsidRPr="00771877">
              <w:rPr>
                <w:rFonts w:eastAsia="Calibri"/>
                <w:color w:val="000000"/>
                <w:sz w:val="28"/>
                <w:szCs w:val="28"/>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771877">
              <w:rPr>
                <w:rFonts w:eastAsia="Calibri"/>
                <w:color w:val="000000"/>
                <w:sz w:val="28"/>
                <w:szCs w:val="28"/>
              </w:rPr>
              <w:t>Трейдинг</w:t>
            </w:r>
            <w:proofErr w:type="spellEnd"/>
            <w:r w:rsidRPr="00771877">
              <w:rPr>
                <w:rFonts w:eastAsia="Calibri"/>
                <w:color w:val="000000"/>
                <w:sz w:val="28"/>
                <w:szCs w:val="28"/>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5D221E" w:rsidRPr="00771877" w:rsidRDefault="005D221E" w:rsidP="00B75874">
            <w:pPr>
              <w:pStyle w:val="a3"/>
              <w:shd w:val="clear" w:color="auto" w:fill="FFFFFF"/>
              <w:spacing w:before="0" w:beforeAutospacing="0" w:after="0" w:afterAutospacing="0"/>
              <w:ind w:firstLine="567"/>
              <w:jc w:val="both"/>
              <w:textAlignment w:val="baseline"/>
              <w:rPr>
                <w:rFonts w:eastAsia="Calibri"/>
                <w:color w:val="000000"/>
                <w:sz w:val="28"/>
                <w:szCs w:val="28"/>
              </w:rPr>
            </w:pPr>
            <w:r w:rsidRPr="00771877">
              <w:rPr>
                <w:rFonts w:eastAsia="Calibri"/>
                <w:color w:val="000000"/>
                <w:sz w:val="28"/>
                <w:szCs w:val="28"/>
              </w:rPr>
              <w:t>Враховуючи  вищевикладене, виникають підстави для розрахунку очікуваної вартості предмета закупівлі – природного газу на підставі пункту 3 розділу III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  </w:t>
            </w:r>
            <w:proofErr w:type="spellStart"/>
            <w:r w:rsidRPr="00771877">
              <w:rPr>
                <w:rFonts w:eastAsia="Calibri"/>
                <w:color w:val="000000"/>
                <w:sz w:val="28"/>
                <w:szCs w:val="28"/>
              </w:rPr>
              <w:t>ОВрег</w:t>
            </w:r>
            <w:proofErr w:type="spellEnd"/>
            <w:r w:rsidRPr="00771877">
              <w:rPr>
                <w:rFonts w:eastAsia="Calibri"/>
                <w:color w:val="000000"/>
                <w:sz w:val="28"/>
                <w:szCs w:val="28"/>
              </w:rPr>
              <w:t xml:space="preserve"> = V * </w:t>
            </w:r>
            <w:proofErr w:type="spellStart"/>
            <w:r w:rsidRPr="00771877">
              <w:rPr>
                <w:rFonts w:eastAsia="Calibri"/>
                <w:color w:val="000000"/>
                <w:sz w:val="28"/>
                <w:szCs w:val="28"/>
              </w:rPr>
              <w:t>Цтар,де</w:t>
            </w:r>
            <w:proofErr w:type="spellEnd"/>
            <w:r w:rsidRPr="00771877">
              <w:rPr>
                <w:rFonts w:eastAsia="Calibri"/>
                <w:color w:val="000000"/>
                <w:sz w:val="28"/>
                <w:szCs w:val="28"/>
              </w:rPr>
              <w:t xml:space="preserve">: </w:t>
            </w:r>
            <w:proofErr w:type="spellStart"/>
            <w:r w:rsidRPr="00771877">
              <w:rPr>
                <w:rFonts w:eastAsia="Calibri"/>
                <w:color w:val="000000"/>
                <w:sz w:val="28"/>
                <w:szCs w:val="28"/>
              </w:rPr>
              <w:t>ОВрег</w:t>
            </w:r>
            <w:proofErr w:type="spellEnd"/>
            <w:r w:rsidRPr="00771877">
              <w:rPr>
                <w:rFonts w:eastAsia="Calibri"/>
                <w:color w:val="000000"/>
                <w:sz w:val="28"/>
                <w:szCs w:val="28"/>
              </w:rPr>
              <w:t xml:space="preserve"> – очікувана вартість закупівлі товарів/послуг, щодо яких проводиться державне регулювання цін і </w:t>
            </w:r>
            <w:proofErr w:type="spellStart"/>
            <w:r w:rsidRPr="00771877">
              <w:rPr>
                <w:rFonts w:eastAsia="Calibri"/>
                <w:color w:val="000000"/>
                <w:sz w:val="28"/>
                <w:szCs w:val="28"/>
              </w:rPr>
              <w:t>тарифів;V</w:t>
            </w:r>
            <w:proofErr w:type="spellEnd"/>
            <w:r w:rsidRPr="00771877">
              <w:rPr>
                <w:rFonts w:eastAsia="Calibri"/>
                <w:color w:val="000000"/>
                <w:sz w:val="28"/>
                <w:szCs w:val="28"/>
              </w:rPr>
              <w:t xml:space="preserve"> – кількість (обсяг) товару/послуги, що закуповується; </w:t>
            </w:r>
            <w:proofErr w:type="spellStart"/>
            <w:r w:rsidRPr="00771877">
              <w:rPr>
                <w:rFonts w:eastAsia="Calibri"/>
                <w:color w:val="000000"/>
                <w:sz w:val="28"/>
                <w:szCs w:val="28"/>
              </w:rPr>
              <w:t>Цтар</w:t>
            </w:r>
            <w:proofErr w:type="spellEnd"/>
            <w:r w:rsidRPr="00771877">
              <w:rPr>
                <w:rFonts w:eastAsia="Calibri"/>
                <w:color w:val="000000"/>
                <w:sz w:val="28"/>
                <w:szCs w:val="28"/>
              </w:rPr>
              <w:t xml:space="preserve"> – ціна (тариф) за одиницю товару/послуги, затверджена відповідним нормативно-правовим актом.</w:t>
            </w:r>
          </w:p>
          <w:p w:rsidR="005D221E" w:rsidRPr="00771877" w:rsidRDefault="005D221E" w:rsidP="00B75874">
            <w:pPr>
              <w:pStyle w:val="a3"/>
              <w:shd w:val="clear" w:color="auto" w:fill="FFFFFF"/>
              <w:spacing w:before="0" w:beforeAutospacing="0" w:after="0" w:afterAutospacing="0"/>
              <w:ind w:firstLine="709"/>
              <w:jc w:val="both"/>
              <w:textAlignment w:val="baseline"/>
              <w:rPr>
                <w:rFonts w:eastAsia="Calibri"/>
                <w:color w:val="000000"/>
                <w:sz w:val="28"/>
                <w:szCs w:val="28"/>
              </w:rPr>
            </w:pPr>
            <w:r w:rsidRPr="00771877">
              <w:rPr>
                <w:rFonts w:eastAsia="Calibri"/>
                <w:color w:val="000000"/>
                <w:sz w:val="28"/>
                <w:szCs w:val="28"/>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771877">
              <w:rPr>
                <w:rFonts w:eastAsia="Calibri"/>
                <w:color w:val="000000"/>
                <w:sz w:val="28"/>
                <w:szCs w:val="28"/>
              </w:rPr>
              <w:t>Трейдинг</w:t>
            </w:r>
            <w:proofErr w:type="spellEnd"/>
            <w:r w:rsidRPr="00771877">
              <w:rPr>
                <w:rFonts w:eastAsia="Calibri"/>
                <w:color w:val="000000"/>
                <w:sz w:val="28"/>
                <w:szCs w:val="28"/>
              </w:rPr>
              <w:t xml:space="preserve">” постачає з 1 </w:t>
            </w:r>
            <w:r w:rsidRPr="00771877">
              <w:rPr>
                <w:rFonts w:eastAsia="Calibri"/>
                <w:color w:val="000000"/>
                <w:sz w:val="28"/>
                <w:szCs w:val="28"/>
              </w:rPr>
              <w:lastRenderedPageBreak/>
              <w:t>вересня 2022 р. по 31 березня 2023 р. (включно) природний газ бюджетним установам, замовник дотримуючись принципів пропорційності, прозорості та недискримінації учасників Замовник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з особливостями, відповідно до пункту 4 частини 2 статті 21 Закону України «Про публічні закупівлі».</w:t>
            </w:r>
          </w:p>
          <w:p w:rsidR="005D221E" w:rsidRPr="00771877" w:rsidRDefault="005D221E" w:rsidP="00B75874">
            <w:pPr>
              <w:pStyle w:val="a3"/>
              <w:shd w:val="clear" w:color="auto" w:fill="FFFFFF"/>
              <w:spacing w:before="0" w:beforeAutospacing="0" w:after="225" w:afterAutospacing="0"/>
              <w:ind w:firstLine="567"/>
              <w:jc w:val="both"/>
              <w:textAlignment w:val="baseline"/>
              <w:rPr>
                <w:rFonts w:eastAsia="Calibri"/>
                <w:color w:val="000000"/>
                <w:sz w:val="28"/>
                <w:szCs w:val="28"/>
              </w:rPr>
            </w:pPr>
            <w:r w:rsidRPr="00771877">
              <w:rPr>
                <w:rFonts w:eastAsia="Calibri"/>
                <w:color w:val="000000"/>
                <w:sz w:val="28"/>
                <w:szCs w:val="28"/>
              </w:rPr>
              <w:t>Враховуючи вищенаведене, Замовник розрахував очікувану вартість закупівлі відповідно до планових бюджетних призначень на 2023 рік та виходячи з потреб природного газу з січня по березень включно 2023 року.</w:t>
            </w:r>
          </w:p>
          <w:p w:rsidR="005D221E" w:rsidRPr="00771877" w:rsidRDefault="005D221E" w:rsidP="00B75874">
            <w:pPr>
              <w:pStyle w:val="rvps2"/>
              <w:shd w:val="clear" w:color="auto" w:fill="FFFFFF"/>
              <w:spacing w:after="0" w:afterAutospacing="0" w:line="240" w:lineRule="atLeast"/>
              <w:jc w:val="both"/>
              <w:rPr>
                <w:rFonts w:eastAsia="Calibri"/>
                <w:lang w:val="uk-UA"/>
              </w:rPr>
            </w:pPr>
          </w:p>
        </w:tc>
      </w:tr>
    </w:tbl>
    <w:p w:rsidR="005D221E" w:rsidRPr="005D0A14" w:rsidRDefault="005D221E" w:rsidP="005D221E">
      <w:pPr>
        <w:rPr>
          <w:lang w:val="uk-UA"/>
        </w:rPr>
      </w:pPr>
    </w:p>
    <w:p w:rsidR="005D221E" w:rsidRDefault="005D221E" w:rsidP="005D221E">
      <w:pPr>
        <w:spacing w:line="0" w:lineRule="atLeast"/>
        <w:rPr>
          <w:rFonts w:ascii="Times New Roman" w:hAnsi="Times New Roman" w:cs="Times New Roman"/>
          <w:sz w:val="24"/>
          <w:szCs w:val="28"/>
          <w:lang w:val="uk-UA"/>
        </w:rPr>
      </w:pPr>
    </w:p>
    <w:p w:rsidR="005D221E" w:rsidRDefault="005D221E" w:rsidP="005D221E">
      <w:pPr>
        <w:spacing w:line="0" w:lineRule="atLeast"/>
        <w:rPr>
          <w:rFonts w:ascii="Times New Roman" w:hAnsi="Times New Roman" w:cs="Times New Roman"/>
          <w:sz w:val="24"/>
          <w:szCs w:val="28"/>
          <w:lang w:val="uk-UA"/>
        </w:rPr>
      </w:pPr>
    </w:p>
    <w:p w:rsidR="00503460" w:rsidRDefault="005D221E">
      <w:bookmarkStart w:id="1" w:name="_GoBack"/>
      <w:bookmarkEnd w:id="1"/>
    </w:p>
    <w:sectPr w:rsidR="00503460" w:rsidSect="00572946">
      <w:pgSz w:w="11906" w:h="16838"/>
      <w:pgMar w:top="851" w:right="850"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1E"/>
    <w:rsid w:val="005D221E"/>
    <w:rsid w:val="005D71B4"/>
    <w:rsid w:val="00F05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72826-E03C-4C2A-BBE1-0E8EF472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21E"/>
    <w:pPr>
      <w:suppressAutoHyphens/>
      <w:spacing w:after="0" w:line="240" w:lineRule="auto"/>
    </w:pPr>
    <w:rPr>
      <w:rFonts w:ascii="Arial" w:eastAsia="Times New Roman" w:hAnsi="Arial" w:cs="Arial"/>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221E"/>
    <w:pPr>
      <w:suppressAutoHyphens w:val="0"/>
      <w:spacing w:before="100" w:beforeAutospacing="1" w:after="100" w:afterAutospacing="1"/>
    </w:pPr>
    <w:rPr>
      <w:rFonts w:ascii="Times New Roman" w:hAnsi="Times New Roman" w:cs="Times New Roman"/>
      <w:sz w:val="24"/>
      <w:szCs w:val="24"/>
      <w:lang w:eastAsia="ru-RU"/>
    </w:rPr>
  </w:style>
  <w:style w:type="character" w:customStyle="1" w:styleId="qabuget">
    <w:name w:val="qa_buget"/>
    <w:rsid w:val="005D221E"/>
  </w:style>
  <w:style w:type="character" w:customStyle="1" w:styleId="qacode">
    <w:name w:val="qa_code"/>
    <w:rsid w:val="005D221E"/>
  </w:style>
  <w:style w:type="character" w:customStyle="1" w:styleId="js-apiid">
    <w:name w:val="js-apiid"/>
    <w:rsid w:val="005D221E"/>
  </w:style>
  <w:style w:type="paragraph" w:styleId="a3">
    <w:name w:val="Normal (Web)"/>
    <w:basedOn w:val="a"/>
    <w:uiPriority w:val="99"/>
    <w:unhideWhenUsed/>
    <w:rsid w:val="005D221E"/>
    <w:pPr>
      <w:suppressAutoHyphens w:val="0"/>
      <w:spacing w:before="100" w:beforeAutospacing="1" w:after="100" w:afterAutospacing="1"/>
    </w:pPr>
    <w:rPr>
      <w:rFonts w:ascii="Times New Roman" w:hAnsi="Times New Roman" w:cs="Times New Roman"/>
      <w:sz w:val="24"/>
      <w:szCs w:val="24"/>
      <w:lang w:val="uk-UA" w:eastAsia="uk-UA"/>
    </w:rPr>
  </w:style>
  <w:style w:type="paragraph" w:styleId="a4">
    <w:name w:val="List Paragraph"/>
    <w:basedOn w:val="a"/>
    <w:uiPriority w:val="34"/>
    <w:qFormat/>
    <w:rsid w:val="005D221E"/>
    <w:pPr>
      <w:suppressAutoHyphens w:val="0"/>
      <w:spacing w:after="160" w:line="259"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1-28-0019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4552</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1</cp:revision>
  <dcterms:created xsi:type="dcterms:W3CDTF">2022-11-29T12:51:00Z</dcterms:created>
  <dcterms:modified xsi:type="dcterms:W3CDTF">2022-11-29T12:51:00Z</dcterms:modified>
</cp:coreProperties>
</file>