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F" w:rsidRPr="00362317" w:rsidRDefault="00326BCF" w:rsidP="00326BCF">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326BCF" w:rsidRPr="00DC4E97" w:rsidRDefault="00326BCF" w:rsidP="00326BCF">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відкриті торги, </w:t>
      </w:r>
    </w:p>
    <w:p w:rsidR="00B253DE" w:rsidRDefault="00326BCF" w:rsidP="00326BCF">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w:t>
      </w:r>
      <w:r>
        <w:rPr>
          <w:rFonts w:ascii="Times New Roman" w:hAnsi="Times New Roman" w:cs="Times New Roman"/>
          <w:sz w:val="28"/>
          <w:szCs w:val="28"/>
        </w:rPr>
        <w:t>орм постанови КМУ від 11.10.20</w:t>
      </w:r>
      <w:r>
        <w:rPr>
          <w:rFonts w:ascii="Times New Roman" w:hAnsi="Times New Roman" w:cs="Times New Roman"/>
          <w:sz w:val="28"/>
          <w:szCs w:val="28"/>
          <w:lang w:val="ru-RU"/>
        </w:rPr>
        <w:t>16</w:t>
      </w:r>
      <w:r w:rsidRPr="00DC4E97">
        <w:rPr>
          <w:rFonts w:ascii="Times New Roman" w:hAnsi="Times New Roman" w:cs="Times New Roman"/>
          <w:sz w:val="28"/>
          <w:szCs w:val="28"/>
        </w:rPr>
        <w:t xml:space="preserve"> № 710 із зм</w:t>
      </w:r>
      <w:r>
        <w:rPr>
          <w:rFonts w:ascii="Times New Roman" w:hAnsi="Times New Roman" w:cs="Times New Roman"/>
          <w:sz w:val="28"/>
          <w:szCs w:val="28"/>
        </w:rPr>
        <w:t xml:space="preserve">інами (ПКМУ від </w:t>
      </w:r>
      <w:r w:rsidR="00B253DE">
        <w:rPr>
          <w:rFonts w:ascii="Times New Roman" w:hAnsi="Times New Roman" w:cs="Times New Roman"/>
          <w:sz w:val="28"/>
          <w:szCs w:val="28"/>
        </w:rPr>
        <w:t>15</w:t>
      </w:r>
      <w:r>
        <w:rPr>
          <w:rFonts w:ascii="Times New Roman" w:hAnsi="Times New Roman" w:cs="Times New Roman"/>
          <w:sz w:val="28"/>
          <w:szCs w:val="28"/>
        </w:rPr>
        <w:t>.</w:t>
      </w:r>
      <w:r w:rsidR="00B253DE">
        <w:rPr>
          <w:rFonts w:ascii="Times New Roman" w:hAnsi="Times New Roman" w:cs="Times New Roman"/>
          <w:sz w:val="28"/>
          <w:szCs w:val="28"/>
        </w:rPr>
        <w:t>12</w:t>
      </w:r>
      <w:r>
        <w:rPr>
          <w:rFonts w:ascii="Times New Roman" w:hAnsi="Times New Roman" w:cs="Times New Roman"/>
          <w:sz w:val="28"/>
          <w:szCs w:val="28"/>
        </w:rPr>
        <w:t xml:space="preserve">.2021 № </w:t>
      </w:r>
      <w:r w:rsidR="00B253DE">
        <w:rPr>
          <w:rFonts w:ascii="Times New Roman" w:hAnsi="Times New Roman" w:cs="Times New Roman"/>
          <w:sz w:val="28"/>
          <w:szCs w:val="28"/>
        </w:rPr>
        <w:t>1386</w:t>
      </w:r>
      <w:r w:rsidRPr="00DC4E97">
        <w:rPr>
          <w:rFonts w:ascii="Times New Roman" w:hAnsi="Times New Roman" w:cs="Times New Roman"/>
          <w:sz w:val="28"/>
          <w:szCs w:val="28"/>
        </w:rPr>
        <w:t>).</w:t>
      </w:r>
    </w:p>
    <w:p w:rsidR="00B842DE" w:rsidRPr="00DC4E97" w:rsidRDefault="00B253DE" w:rsidP="00B253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Послуги з розподілу електричної енергії та послуги із забезпечення перетікань реактивної електричної енергії </w:t>
      </w:r>
      <w:r w:rsidR="00362317" w:rsidRPr="00DC4E97">
        <w:rPr>
          <w:rFonts w:ascii="Times New Roman" w:hAnsi="Times New Roman" w:cs="Times New Roman"/>
          <w:sz w:val="28"/>
          <w:szCs w:val="28"/>
        </w:rPr>
        <w:t xml:space="preserve">, </w:t>
      </w:r>
    </w:p>
    <w:p w:rsidR="00362317" w:rsidRDefault="00362317"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 xml:space="preserve">на період з </w:t>
      </w:r>
      <w:proofErr w:type="spellStart"/>
      <w:r w:rsidR="00B253DE">
        <w:rPr>
          <w:rFonts w:ascii="Times New Roman" w:hAnsi="Times New Roman" w:cs="Times New Roman"/>
          <w:sz w:val="28"/>
          <w:szCs w:val="28"/>
          <w:lang w:val="ru-RU"/>
        </w:rPr>
        <w:t>січня</w:t>
      </w:r>
      <w:proofErr w:type="spellEnd"/>
      <w:r w:rsidR="00326BCF">
        <w:rPr>
          <w:rFonts w:ascii="Times New Roman" w:hAnsi="Times New Roman" w:cs="Times New Roman"/>
          <w:sz w:val="28"/>
          <w:szCs w:val="28"/>
        </w:rPr>
        <w:t xml:space="preserve"> по грудень 2022</w:t>
      </w:r>
      <w:r w:rsidRPr="00DC4E97">
        <w:rPr>
          <w:rFonts w:ascii="Times New Roman" w:hAnsi="Times New Roman" w:cs="Times New Roman"/>
          <w:sz w:val="28"/>
          <w:szCs w:val="28"/>
        </w:rPr>
        <w:t xml:space="preserve"> року</w:t>
      </w:r>
    </w:p>
    <w:p w:rsidR="00407EF7" w:rsidRPr="00DC4E97" w:rsidRDefault="00407EF7" w:rsidP="00362317">
      <w:pPr>
        <w:spacing w:after="0" w:line="240" w:lineRule="auto"/>
        <w:jc w:val="center"/>
        <w:rPr>
          <w:rFonts w:ascii="Times New Roman" w:hAnsi="Times New Roman" w:cs="Times New Roman"/>
          <w:sz w:val="28"/>
          <w:szCs w:val="28"/>
        </w:rPr>
      </w:pPr>
    </w:p>
    <w:tbl>
      <w:tblPr>
        <w:tblStyle w:val="a3"/>
        <w:tblW w:w="15735" w:type="dxa"/>
        <w:tblInd w:w="-176" w:type="dxa"/>
        <w:tblLayout w:type="fixed"/>
        <w:tblLook w:val="04A0" w:firstRow="1" w:lastRow="0" w:firstColumn="1" w:lastColumn="0" w:noHBand="0" w:noVBand="1"/>
      </w:tblPr>
      <w:tblGrid>
        <w:gridCol w:w="1277"/>
        <w:gridCol w:w="1134"/>
        <w:gridCol w:w="1275"/>
        <w:gridCol w:w="1418"/>
        <w:gridCol w:w="5729"/>
        <w:gridCol w:w="1500"/>
        <w:gridCol w:w="3402"/>
      </w:tblGrid>
      <w:tr w:rsidR="00C41696" w:rsidRPr="00DC4E97" w:rsidTr="00FF05FA">
        <w:tc>
          <w:tcPr>
            <w:tcW w:w="1277" w:type="dxa"/>
          </w:tcPr>
          <w:p w:rsidR="00C41696" w:rsidRDefault="00C41696" w:rsidP="00362317">
            <w:pPr>
              <w:jc w:val="center"/>
              <w:rPr>
                <w:rFonts w:ascii="Times New Roman" w:hAnsi="Times New Roman" w:cs="Times New Roman"/>
                <w:b/>
                <w:sz w:val="20"/>
                <w:szCs w:val="20"/>
              </w:rPr>
            </w:pPr>
          </w:p>
          <w:p w:rsidR="00C41696" w:rsidRPr="00407EF7" w:rsidRDefault="00C41696" w:rsidP="00362317">
            <w:pPr>
              <w:jc w:val="center"/>
              <w:rPr>
                <w:rFonts w:ascii="Times New Roman" w:hAnsi="Times New Roman" w:cs="Times New Roman"/>
                <w:sz w:val="20"/>
                <w:szCs w:val="20"/>
              </w:rPr>
            </w:pPr>
            <w:r w:rsidRPr="00407EF7">
              <w:rPr>
                <w:rFonts w:ascii="Times New Roman" w:hAnsi="Times New Roman" w:cs="Times New Roman"/>
                <w:sz w:val="20"/>
                <w:szCs w:val="20"/>
              </w:rPr>
              <w:t>Предмет закупівлі  Класифікаці</w:t>
            </w:r>
            <w:r>
              <w:rPr>
                <w:rFonts w:ascii="Times New Roman" w:hAnsi="Times New Roman" w:cs="Times New Roman"/>
                <w:sz w:val="20"/>
                <w:szCs w:val="20"/>
              </w:rPr>
              <w:t>ї</w:t>
            </w:r>
            <w:r w:rsidRPr="00407EF7">
              <w:rPr>
                <w:rFonts w:ascii="Times New Roman" w:hAnsi="Times New Roman" w:cs="Times New Roman"/>
                <w:sz w:val="20"/>
                <w:szCs w:val="20"/>
              </w:rPr>
              <w:t xml:space="preserve"> за ДК 021:2015</w:t>
            </w:r>
          </w:p>
        </w:tc>
        <w:tc>
          <w:tcPr>
            <w:tcW w:w="1134" w:type="dxa"/>
          </w:tcPr>
          <w:p w:rsidR="00C41696" w:rsidRPr="00DC4E97" w:rsidRDefault="00C41696"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Вид та </w:t>
            </w:r>
            <w:proofErr w:type="spellStart"/>
            <w:r w:rsidRPr="00DC4E97">
              <w:rPr>
                <w:rFonts w:ascii="Times New Roman" w:hAnsi="Times New Roman" w:cs="Times New Roman"/>
                <w:sz w:val="20"/>
                <w:szCs w:val="20"/>
              </w:rPr>
              <w:t>індетифікатор</w:t>
            </w:r>
            <w:proofErr w:type="spellEnd"/>
            <w:r w:rsidRPr="00DC4E97">
              <w:rPr>
                <w:rFonts w:ascii="Times New Roman" w:hAnsi="Times New Roman" w:cs="Times New Roman"/>
                <w:sz w:val="20"/>
                <w:szCs w:val="20"/>
              </w:rPr>
              <w:t xml:space="preserve"> процедури закупівлі</w:t>
            </w:r>
          </w:p>
        </w:tc>
        <w:tc>
          <w:tcPr>
            <w:tcW w:w="1275" w:type="dxa"/>
          </w:tcPr>
          <w:p w:rsidR="00C41696" w:rsidRPr="00DC4E97" w:rsidRDefault="00C41696" w:rsidP="0091243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418" w:type="dxa"/>
          </w:tcPr>
          <w:p w:rsidR="00C41696" w:rsidRPr="00DC4E97" w:rsidRDefault="00C41696"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(грн)</w:t>
            </w:r>
          </w:p>
        </w:tc>
        <w:tc>
          <w:tcPr>
            <w:tcW w:w="5729" w:type="dxa"/>
          </w:tcPr>
          <w:p w:rsidR="00C41696" w:rsidRPr="00DC4E97" w:rsidRDefault="00C41696"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C41696" w:rsidRPr="00DC4E97" w:rsidRDefault="00C41696"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500" w:type="dxa"/>
          </w:tcPr>
          <w:p w:rsidR="00C41696" w:rsidRDefault="00C41696">
            <w:pPr>
              <w:jc w:val="center"/>
              <w:rPr>
                <w:rFonts w:ascii="Times New Roman" w:hAnsi="Times New Roman" w:cs="Times New Roman"/>
                <w:sz w:val="20"/>
                <w:szCs w:val="20"/>
              </w:rPr>
            </w:pPr>
            <w:r>
              <w:rPr>
                <w:rFonts w:ascii="Times New Roman" w:hAnsi="Times New Roman" w:cs="Times New Roman"/>
                <w:sz w:val="20"/>
                <w:szCs w:val="20"/>
              </w:rPr>
              <w:t>Обґрунтування розміру бюджетного призначення</w:t>
            </w:r>
          </w:p>
        </w:tc>
        <w:tc>
          <w:tcPr>
            <w:tcW w:w="3402" w:type="dxa"/>
          </w:tcPr>
          <w:p w:rsidR="00C41696" w:rsidRPr="00DC4E97" w:rsidRDefault="00C41696"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вартості предмета закупівлі</w:t>
            </w:r>
          </w:p>
        </w:tc>
      </w:tr>
      <w:tr w:rsidR="00C41696" w:rsidRPr="00BA4A83" w:rsidTr="00FF05FA">
        <w:tc>
          <w:tcPr>
            <w:tcW w:w="1277" w:type="dxa"/>
          </w:tcPr>
          <w:p w:rsidR="00C41696" w:rsidRPr="001E2BC2" w:rsidRDefault="00C41696" w:rsidP="00407EF7">
            <w:pPr>
              <w:jc w:val="center"/>
              <w:rPr>
                <w:rFonts w:ascii="Times New Roman" w:hAnsi="Times New Roman" w:cs="Times New Roman"/>
                <w:color w:val="000000"/>
                <w:sz w:val="20"/>
                <w:szCs w:val="20"/>
                <w:shd w:val="clear" w:color="auto" w:fill="FDFEFD"/>
              </w:rPr>
            </w:pPr>
          </w:p>
          <w:p w:rsidR="00C41696" w:rsidRPr="001E2BC2" w:rsidRDefault="00C41696" w:rsidP="00407EF7">
            <w:pPr>
              <w:jc w:val="center"/>
              <w:rPr>
                <w:rFonts w:ascii="Times New Roman" w:hAnsi="Times New Roman" w:cs="Times New Roman"/>
                <w:sz w:val="20"/>
                <w:szCs w:val="20"/>
              </w:rPr>
            </w:pPr>
            <w:r w:rsidRPr="001E2BC2">
              <w:rPr>
                <w:rFonts w:ascii="Times New Roman" w:hAnsi="Times New Roman" w:cs="Times New Roman"/>
                <w:color w:val="777777"/>
                <w:sz w:val="20"/>
                <w:szCs w:val="20"/>
                <w:shd w:val="clear" w:color="auto" w:fill="FDFEFD"/>
              </w:rPr>
              <w:t> </w:t>
            </w:r>
            <w:r w:rsidRPr="001E2BC2">
              <w:rPr>
                <w:rFonts w:ascii="Times New Roman" w:hAnsi="Times New Roman" w:cs="Times New Roman"/>
                <w:color w:val="000000"/>
                <w:sz w:val="20"/>
                <w:szCs w:val="20"/>
                <w:bdr w:val="none" w:sz="0" w:space="0" w:color="auto" w:frame="1"/>
                <w:shd w:val="clear" w:color="auto" w:fill="FDFEFD"/>
              </w:rPr>
              <w:t>65310000-9</w:t>
            </w:r>
            <w:r w:rsidRPr="001E2BC2">
              <w:rPr>
                <w:rFonts w:ascii="Times New Roman" w:hAnsi="Times New Roman" w:cs="Times New Roman"/>
                <w:color w:val="777777"/>
                <w:sz w:val="20"/>
                <w:szCs w:val="20"/>
                <w:shd w:val="clear" w:color="auto" w:fill="FDFEFD"/>
              </w:rPr>
              <w:t> - </w:t>
            </w:r>
            <w:r w:rsidRPr="001E2BC2">
              <w:rPr>
                <w:rFonts w:ascii="Times New Roman" w:hAnsi="Times New Roman" w:cs="Times New Roman"/>
                <w:color w:val="000000"/>
                <w:sz w:val="20"/>
                <w:szCs w:val="20"/>
                <w:bdr w:val="none" w:sz="0" w:space="0" w:color="auto" w:frame="1"/>
                <w:shd w:val="clear" w:color="auto" w:fill="FDFEFD"/>
              </w:rPr>
              <w:t>Розподіл електричної енергії</w:t>
            </w:r>
          </w:p>
        </w:tc>
        <w:tc>
          <w:tcPr>
            <w:tcW w:w="1134" w:type="dxa"/>
          </w:tcPr>
          <w:p w:rsidR="00C41696" w:rsidRPr="001E2BC2" w:rsidRDefault="007D0A2F" w:rsidP="00B253DE">
            <w:pPr>
              <w:spacing w:line="240" w:lineRule="atLeast"/>
              <w:rPr>
                <w:rFonts w:ascii="Times New Roman" w:hAnsi="Times New Roman" w:cs="Times New Roman"/>
                <w:color w:val="6D6D6D"/>
                <w:sz w:val="20"/>
                <w:szCs w:val="20"/>
              </w:rPr>
            </w:pPr>
            <w:hyperlink r:id="rId5" w:tgtFrame="_blank" w:tooltip="Оголошення на порталі Уповноваженого органу" w:history="1">
              <w:r w:rsidR="00C41696" w:rsidRPr="001E2BC2">
                <w:rPr>
                  <w:rFonts w:ascii="Times New Roman" w:hAnsi="Times New Roman" w:cs="Times New Roman"/>
                  <w:color w:val="000000"/>
                  <w:sz w:val="20"/>
                  <w:szCs w:val="20"/>
                  <w:bdr w:val="none" w:sz="0" w:space="0" w:color="auto" w:frame="1"/>
                </w:rPr>
                <w:br/>
              </w:r>
            </w:hyperlink>
            <w:bookmarkStart w:id="0" w:name="_GoBack"/>
            <w:r>
              <w:fldChar w:fldCharType="begin"/>
            </w:r>
            <w:r>
              <w:instrText xml:space="preserve"> HYPERLINK "https://prozorro.gov.ua/tender/UA-2022-01-13-002277-c" \t "_blank" \o "Оголошення на порталі Уповноваженого органу" </w:instrText>
            </w:r>
            <w:r>
              <w:fldChar w:fldCharType="separate"/>
            </w:r>
            <w:r w:rsidR="00C41696" w:rsidRPr="001E2BC2">
              <w:rPr>
                <w:rStyle w:val="js-apiid"/>
                <w:rFonts w:ascii="Times New Roman" w:hAnsi="Times New Roman" w:cs="Times New Roman"/>
                <w:color w:val="000000"/>
                <w:sz w:val="20"/>
                <w:szCs w:val="20"/>
                <w:bdr w:val="none" w:sz="0" w:space="0" w:color="auto" w:frame="1"/>
              </w:rPr>
              <w:t>UA-2022-01-13-002277-c</w:t>
            </w:r>
            <w:r>
              <w:rPr>
                <w:rStyle w:val="js-apiid"/>
                <w:rFonts w:ascii="Times New Roman" w:hAnsi="Times New Roman" w:cs="Times New Roman"/>
                <w:color w:val="000000"/>
                <w:sz w:val="20"/>
                <w:szCs w:val="20"/>
                <w:bdr w:val="none" w:sz="0" w:space="0" w:color="auto" w:frame="1"/>
              </w:rPr>
              <w:fldChar w:fldCharType="end"/>
            </w:r>
          </w:p>
          <w:bookmarkEnd w:id="0"/>
          <w:p w:rsidR="00C41696" w:rsidRPr="001E2BC2" w:rsidRDefault="00C41696" w:rsidP="0077123D">
            <w:pPr>
              <w:spacing w:line="240" w:lineRule="atLeast"/>
              <w:rPr>
                <w:rFonts w:ascii="Times New Roman" w:hAnsi="Times New Roman" w:cs="Times New Roman"/>
                <w:sz w:val="20"/>
                <w:szCs w:val="20"/>
                <w:lang w:val="en-US"/>
              </w:rPr>
            </w:pPr>
          </w:p>
        </w:tc>
        <w:tc>
          <w:tcPr>
            <w:tcW w:w="1275" w:type="dxa"/>
          </w:tcPr>
          <w:p w:rsidR="00C41696" w:rsidRPr="001E2BC2" w:rsidRDefault="00C41696" w:rsidP="00362317">
            <w:pPr>
              <w:jc w:val="center"/>
              <w:rPr>
                <w:rFonts w:ascii="Times New Roman" w:eastAsia="Calibri" w:hAnsi="Times New Roman" w:cs="Times New Roman"/>
                <w:sz w:val="20"/>
                <w:szCs w:val="20"/>
              </w:rPr>
            </w:pPr>
          </w:p>
          <w:p w:rsidR="00C41696" w:rsidRPr="001E2BC2" w:rsidRDefault="00C41696" w:rsidP="00362317">
            <w:pPr>
              <w:jc w:val="center"/>
              <w:rPr>
                <w:rFonts w:ascii="Times New Roman" w:hAnsi="Times New Roman" w:cs="Times New Roman"/>
                <w:color w:val="000000"/>
                <w:sz w:val="20"/>
                <w:szCs w:val="20"/>
                <w:bdr w:val="none" w:sz="0" w:space="0" w:color="auto" w:frame="1"/>
                <w:shd w:val="clear" w:color="auto" w:fill="FDFEFD"/>
              </w:rPr>
            </w:pPr>
            <w:r w:rsidRPr="001E2BC2">
              <w:rPr>
                <w:rFonts w:ascii="Times New Roman" w:hAnsi="Times New Roman" w:cs="Times New Roman"/>
                <w:color w:val="000000"/>
                <w:sz w:val="20"/>
                <w:szCs w:val="20"/>
                <w:bdr w:val="none" w:sz="0" w:space="0" w:color="auto" w:frame="1"/>
                <w:shd w:val="clear" w:color="auto" w:fill="FDFEFD"/>
              </w:rPr>
              <w:t>211500</w:t>
            </w:r>
            <w:r w:rsidRPr="001E2BC2">
              <w:rPr>
                <w:rFonts w:ascii="Times New Roman" w:hAnsi="Times New Roman" w:cs="Times New Roman"/>
                <w:color w:val="000000"/>
                <w:sz w:val="20"/>
                <w:szCs w:val="20"/>
                <w:shd w:val="clear" w:color="auto" w:fill="FDFEFD"/>
              </w:rPr>
              <w:t> </w:t>
            </w:r>
            <w:r w:rsidRPr="001E2BC2">
              <w:rPr>
                <w:rFonts w:ascii="Times New Roman" w:hAnsi="Times New Roman" w:cs="Times New Roman"/>
                <w:color w:val="000000"/>
                <w:sz w:val="20"/>
                <w:szCs w:val="20"/>
                <w:bdr w:val="none" w:sz="0" w:space="0" w:color="auto" w:frame="1"/>
                <w:shd w:val="clear" w:color="auto" w:fill="FDFEFD"/>
              </w:rPr>
              <w:t>кВт*год;</w:t>
            </w:r>
          </w:p>
          <w:p w:rsidR="00C41696" w:rsidRPr="001E2BC2" w:rsidRDefault="00C41696" w:rsidP="00362317">
            <w:pPr>
              <w:jc w:val="center"/>
              <w:rPr>
                <w:rFonts w:ascii="Times New Roman" w:hAnsi="Times New Roman" w:cs="Times New Roman"/>
                <w:sz w:val="20"/>
                <w:szCs w:val="20"/>
              </w:rPr>
            </w:pPr>
            <w:r w:rsidRPr="001E2BC2">
              <w:rPr>
                <w:rFonts w:ascii="Times New Roman" w:hAnsi="Times New Roman" w:cs="Times New Roman"/>
                <w:color w:val="000000"/>
                <w:sz w:val="20"/>
                <w:szCs w:val="20"/>
                <w:bdr w:val="none" w:sz="0" w:space="0" w:color="auto" w:frame="1"/>
                <w:shd w:val="clear" w:color="auto" w:fill="FDFEFD"/>
              </w:rPr>
              <w:t>36000</w:t>
            </w:r>
            <w:r w:rsidRPr="001E2BC2">
              <w:rPr>
                <w:rFonts w:ascii="Times New Roman" w:hAnsi="Times New Roman" w:cs="Times New Roman"/>
                <w:color w:val="000000"/>
                <w:sz w:val="20"/>
                <w:szCs w:val="20"/>
                <w:shd w:val="clear" w:color="auto" w:fill="FDFEFD"/>
              </w:rPr>
              <w:t> </w:t>
            </w:r>
            <w:r w:rsidRPr="001E2BC2">
              <w:rPr>
                <w:rFonts w:ascii="Times New Roman" w:hAnsi="Times New Roman" w:cs="Times New Roman"/>
                <w:color w:val="000000"/>
                <w:sz w:val="20"/>
                <w:szCs w:val="20"/>
                <w:bdr w:val="none" w:sz="0" w:space="0" w:color="auto" w:frame="1"/>
                <w:shd w:val="clear" w:color="auto" w:fill="FDFEFD"/>
              </w:rPr>
              <w:t>кВар</w:t>
            </w:r>
          </w:p>
        </w:tc>
        <w:tc>
          <w:tcPr>
            <w:tcW w:w="1418" w:type="dxa"/>
          </w:tcPr>
          <w:p w:rsidR="00C41696" w:rsidRPr="001E2BC2" w:rsidRDefault="00C41696" w:rsidP="008255E1">
            <w:pPr>
              <w:jc w:val="center"/>
              <w:rPr>
                <w:rFonts w:ascii="Times New Roman" w:hAnsi="Times New Roman" w:cs="Times New Roman"/>
                <w:color w:val="000000"/>
                <w:sz w:val="20"/>
                <w:szCs w:val="20"/>
                <w:shd w:val="clear" w:color="auto" w:fill="FDFEFD"/>
              </w:rPr>
            </w:pPr>
          </w:p>
          <w:p w:rsidR="00C41696" w:rsidRPr="001E2BC2" w:rsidRDefault="00C41696" w:rsidP="000302EE">
            <w:pPr>
              <w:jc w:val="center"/>
              <w:rPr>
                <w:rFonts w:ascii="Times New Roman" w:hAnsi="Times New Roman" w:cs="Times New Roman"/>
                <w:sz w:val="20"/>
                <w:szCs w:val="20"/>
                <w:lang w:val="ru-RU"/>
              </w:rPr>
            </w:pPr>
            <w:r w:rsidRPr="001E2BC2">
              <w:rPr>
                <w:rFonts w:ascii="Times New Roman" w:hAnsi="Times New Roman" w:cs="Times New Roman"/>
                <w:color w:val="000000"/>
                <w:sz w:val="20"/>
                <w:szCs w:val="20"/>
                <w:bdr w:val="none" w:sz="0" w:space="0" w:color="auto" w:frame="1"/>
                <w:shd w:val="clear" w:color="auto" w:fill="FDFEFD"/>
              </w:rPr>
              <w:t>269`279.91</w:t>
            </w:r>
            <w:r w:rsidRPr="001E2BC2">
              <w:rPr>
                <w:rFonts w:ascii="Times New Roman" w:hAnsi="Times New Roman" w:cs="Times New Roman"/>
                <w:color w:val="000000"/>
                <w:sz w:val="20"/>
                <w:szCs w:val="20"/>
                <w:shd w:val="clear" w:color="auto" w:fill="FDFEFD"/>
              </w:rPr>
              <w:t> </w:t>
            </w:r>
            <w:r w:rsidRPr="001E2BC2">
              <w:rPr>
                <w:rFonts w:ascii="Times New Roman" w:hAnsi="Times New Roman" w:cs="Times New Roman"/>
                <w:color w:val="000000"/>
                <w:sz w:val="20"/>
                <w:szCs w:val="20"/>
                <w:bdr w:val="none" w:sz="0" w:space="0" w:color="auto" w:frame="1"/>
                <w:shd w:val="clear" w:color="auto" w:fill="FDFEFD"/>
              </w:rPr>
              <w:t>Гривня</w:t>
            </w:r>
            <w:r w:rsidRPr="001E2BC2">
              <w:rPr>
                <w:rFonts w:ascii="Times New Roman" w:hAnsi="Times New Roman" w:cs="Times New Roman"/>
                <w:color w:val="000000"/>
                <w:sz w:val="20"/>
                <w:szCs w:val="20"/>
                <w:shd w:val="clear" w:color="auto" w:fill="FDFEFD"/>
              </w:rPr>
              <w:t> </w:t>
            </w:r>
            <w:r w:rsidRPr="001E2BC2">
              <w:rPr>
                <w:rStyle w:val="taxincluded"/>
                <w:rFonts w:ascii="Times New Roman" w:hAnsi="Times New Roman" w:cs="Times New Roman"/>
                <w:sz w:val="20"/>
                <w:szCs w:val="20"/>
                <w:bdr w:val="none" w:sz="0" w:space="0" w:color="auto" w:frame="1"/>
                <w:shd w:val="clear" w:color="auto" w:fill="FDFEFD"/>
              </w:rPr>
              <w:t>(з ПДВ)</w:t>
            </w:r>
          </w:p>
        </w:tc>
        <w:tc>
          <w:tcPr>
            <w:tcW w:w="5729" w:type="dxa"/>
          </w:tcPr>
          <w:p w:rsidR="00C41696" w:rsidRPr="001E2BC2" w:rsidRDefault="001E2BC2" w:rsidP="00326BCF">
            <w:pPr>
              <w:widowControl w:val="0"/>
              <w:tabs>
                <w:tab w:val="left" w:pos="588"/>
                <w:tab w:val="left" w:pos="1134"/>
              </w:tabs>
              <w:ind w:firstLine="203"/>
              <w:jc w:val="both"/>
              <w:rPr>
                <w:rFonts w:ascii="Times New Roman" w:eastAsia="Times New Roman" w:hAnsi="Times New Roman" w:cs="Times New Roman"/>
                <w:sz w:val="20"/>
                <w:szCs w:val="20"/>
                <w:lang w:eastAsia="zh-CN"/>
              </w:rPr>
            </w:pPr>
            <w:r w:rsidRPr="001E2BC2">
              <w:rPr>
                <w:rFonts w:ascii="Times New Roman" w:hAnsi="Times New Roman" w:cs="Times New Roman"/>
                <w:sz w:val="20"/>
                <w:szCs w:val="20"/>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електричної енергії зобов’язується якісно надавати послуги у відповідності до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tc>
        <w:tc>
          <w:tcPr>
            <w:tcW w:w="1500" w:type="dxa"/>
          </w:tcPr>
          <w:p w:rsidR="00C41696" w:rsidRPr="001E2BC2" w:rsidRDefault="00C41696">
            <w:pPr>
              <w:jc w:val="center"/>
              <w:rPr>
                <w:rFonts w:ascii="Times New Roman" w:hAnsi="Times New Roman" w:cs="Times New Roman"/>
                <w:sz w:val="20"/>
                <w:szCs w:val="20"/>
              </w:rPr>
            </w:pPr>
            <w:r w:rsidRPr="001E2BC2">
              <w:rPr>
                <w:rFonts w:ascii="Times New Roman" w:hAnsi="Times New Roman" w:cs="Times New Roman"/>
                <w:sz w:val="20"/>
                <w:szCs w:val="20"/>
              </w:rPr>
              <w:t>відповідає затвердженому кошторису</w:t>
            </w:r>
          </w:p>
        </w:tc>
        <w:tc>
          <w:tcPr>
            <w:tcW w:w="3402" w:type="dxa"/>
          </w:tcPr>
          <w:p w:rsidR="00FF05FA" w:rsidRPr="001E2BC2" w:rsidRDefault="00FF05FA" w:rsidP="00FF05FA">
            <w:pPr>
              <w:ind w:firstLine="142"/>
              <w:rPr>
                <w:rFonts w:ascii="Times New Roman" w:hAnsi="Times New Roman" w:cs="Times New Roman"/>
                <w:sz w:val="20"/>
                <w:szCs w:val="20"/>
              </w:rPr>
            </w:pPr>
            <w:r w:rsidRPr="001E2BC2">
              <w:rPr>
                <w:rFonts w:ascii="Times New Roman" w:hAnsi="Times New Roman" w:cs="Times New Roman"/>
                <w:sz w:val="20"/>
                <w:szCs w:val="20"/>
              </w:rPr>
              <w:t>Визначення очікуваної вартості предмета закупівлі обумовлено аналізом отриманої послуги з розподілу електричної енергії за 2021 рік.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 При цьому розрахунок очікуваної вартості проводився на підставі ціни(тарифу)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 а саме з постанови НКРЕКП № 2603 від 17.12.2021 року «Про встановлення тарифів на послуги з розподілу електричної енергії АТ «ДТЕК ОДЕСЬКІ ЕЛЕКТРОМЕРЕЖІ» із застосуванням стимулюючого регулювання.</w:t>
            </w:r>
          </w:p>
          <w:p w:rsidR="00FF05FA" w:rsidRPr="001E2BC2" w:rsidRDefault="00FF05FA" w:rsidP="00FF05FA">
            <w:pPr>
              <w:ind w:firstLine="142"/>
              <w:rPr>
                <w:rFonts w:ascii="Times New Roman" w:hAnsi="Times New Roman" w:cs="Times New Roman"/>
                <w:sz w:val="20"/>
                <w:szCs w:val="20"/>
              </w:rPr>
            </w:pPr>
            <w:r w:rsidRPr="001E2BC2">
              <w:rPr>
                <w:rFonts w:ascii="Times New Roman" w:hAnsi="Times New Roman" w:cs="Times New Roman"/>
                <w:sz w:val="20"/>
                <w:szCs w:val="20"/>
              </w:rPr>
              <w:t xml:space="preserve">Визначення очікуваної вартості </w:t>
            </w:r>
            <w:r w:rsidRPr="001E2BC2">
              <w:rPr>
                <w:rFonts w:ascii="Times New Roman" w:hAnsi="Times New Roman" w:cs="Times New Roman"/>
                <w:sz w:val="20"/>
                <w:szCs w:val="20"/>
              </w:rPr>
              <w:lastRenderedPageBreak/>
              <w:t>предмета закупівлі обумовлено статистичним аналізом отриманої послуги із компенсації перетікань реактивної електричної енергії за 2021 рік. При цьому розрахунок очікуваної вартості проводився на підставі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від 06.02.2018 №87, зареєстрований у Міністерстві юстиції України 02.04.2018, який здійснюється оператором системи розподілу на дату визнання очікуваної вартості</w:t>
            </w:r>
          </w:p>
          <w:p w:rsidR="00C41696" w:rsidRPr="001E2BC2" w:rsidRDefault="00C41696" w:rsidP="00BA4A83">
            <w:pPr>
              <w:rPr>
                <w:rFonts w:ascii="Times New Roman" w:hAnsi="Times New Roman" w:cs="Times New Roman"/>
                <w:sz w:val="20"/>
                <w:szCs w:val="20"/>
              </w:rPr>
            </w:pP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407EF7">
      <w:pgSz w:w="16838" w:h="11906" w:orient="landscape"/>
      <w:pgMar w:top="993"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A"/>
    <w:rsid w:val="000302EE"/>
    <w:rsid w:val="00061DBF"/>
    <w:rsid w:val="000A0B93"/>
    <w:rsid w:val="000F3231"/>
    <w:rsid w:val="001E2BC2"/>
    <w:rsid w:val="00204718"/>
    <w:rsid w:val="00326BCF"/>
    <w:rsid w:val="00362317"/>
    <w:rsid w:val="003E7F4C"/>
    <w:rsid w:val="00407EF7"/>
    <w:rsid w:val="004E0B2E"/>
    <w:rsid w:val="00762838"/>
    <w:rsid w:val="00770EEA"/>
    <w:rsid w:val="0077123D"/>
    <w:rsid w:val="007D0A2F"/>
    <w:rsid w:val="0091243A"/>
    <w:rsid w:val="009651D9"/>
    <w:rsid w:val="009D793E"/>
    <w:rsid w:val="00A01A04"/>
    <w:rsid w:val="00B074DF"/>
    <w:rsid w:val="00B253DE"/>
    <w:rsid w:val="00B54442"/>
    <w:rsid w:val="00B54FDF"/>
    <w:rsid w:val="00B842DE"/>
    <w:rsid w:val="00B91FB7"/>
    <w:rsid w:val="00BA4A83"/>
    <w:rsid w:val="00BC36BD"/>
    <w:rsid w:val="00C41696"/>
    <w:rsid w:val="00C8157B"/>
    <w:rsid w:val="00D170CE"/>
    <w:rsid w:val="00D662B2"/>
    <w:rsid w:val="00DB59E2"/>
    <w:rsid w:val="00DC4E97"/>
    <w:rsid w:val="00E14EB3"/>
    <w:rsid w:val="00FF0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391DA-7DCB-4934-8837-6EB59DE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5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character" w:styleId="a5">
    <w:name w:val="Hyperlink"/>
    <w:basedOn w:val="a0"/>
    <w:uiPriority w:val="99"/>
    <w:semiHidden/>
    <w:unhideWhenUsed/>
    <w:rsid w:val="00326BCF"/>
    <w:rPr>
      <w:color w:val="0000FF"/>
      <w:u w:val="single"/>
    </w:rPr>
  </w:style>
  <w:style w:type="character" w:customStyle="1" w:styleId="js-apiid">
    <w:name w:val="js-apiid"/>
    <w:basedOn w:val="a0"/>
    <w:rsid w:val="00326BCF"/>
  </w:style>
  <w:style w:type="character" w:customStyle="1" w:styleId="10">
    <w:name w:val="Заголовок 1 Знак"/>
    <w:basedOn w:val="a0"/>
    <w:link w:val="1"/>
    <w:uiPriority w:val="9"/>
    <w:rsid w:val="00B253DE"/>
    <w:rPr>
      <w:rFonts w:ascii="Times New Roman" w:eastAsia="Times New Roman" w:hAnsi="Times New Roman" w:cs="Times New Roman"/>
      <w:b/>
      <w:bCs/>
      <w:kern w:val="36"/>
      <w:sz w:val="48"/>
      <w:szCs w:val="48"/>
      <w:lang w:eastAsia="uk-UA"/>
    </w:rPr>
  </w:style>
  <w:style w:type="character" w:customStyle="1" w:styleId="taxincluded">
    <w:name w:val="taxincluded"/>
    <w:basedOn w:val="a0"/>
    <w:rsid w:val="00B2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832838730">
      <w:bodyDiv w:val="1"/>
      <w:marLeft w:val="0"/>
      <w:marRight w:val="0"/>
      <w:marTop w:val="0"/>
      <w:marBottom w:val="0"/>
      <w:divBdr>
        <w:top w:val="none" w:sz="0" w:space="0" w:color="auto"/>
        <w:left w:val="none" w:sz="0" w:space="0" w:color="auto"/>
        <w:bottom w:val="none" w:sz="0" w:space="0" w:color="auto"/>
        <w:right w:val="none" w:sz="0" w:space="0" w:color="auto"/>
      </w:divBdr>
    </w:div>
    <w:div w:id="969558618">
      <w:bodyDiv w:val="1"/>
      <w:marLeft w:val="0"/>
      <w:marRight w:val="0"/>
      <w:marTop w:val="0"/>
      <w:marBottom w:val="0"/>
      <w:divBdr>
        <w:top w:val="none" w:sz="0" w:space="0" w:color="auto"/>
        <w:left w:val="none" w:sz="0" w:space="0" w:color="auto"/>
        <w:bottom w:val="none" w:sz="0" w:space="0" w:color="auto"/>
        <w:right w:val="none" w:sz="0" w:space="0" w:color="auto"/>
      </w:divBdr>
    </w:div>
    <w:div w:id="1650817163">
      <w:bodyDiv w:val="1"/>
      <w:marLeft w:val="0"/>
      <w:marRight w:val="0"/>
      <w:marTop w:val="0"/>
      <w:marBottom w:val="0"/>
      <w:divBdr>
        <w:top w:val="none" w:sz="0" w:space="0" w:color="auto"/>
        <w:left w:val="none" w:sz="0" w:space="0" w:color="auto"/>
        <w:bottom w:val="none" w:sz="0" w:space="0" w:color="auto"/>
        <w:right w:val="none" w:sz="0" w:space="0" w:color="auto"/>
      </w:divBdr>
    </w:div>
    <w:div w:id="19035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06-00311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Скаба</cp:lastModifiedBy>
  <cp:revision>2</cp:revision>
  <cp:lastPrinted>2022-01-13T09:38:00Z</cp:lastPrinted>
  <dcterms:created xsi:type="dcterms:W3CDTF">2022-01-14T10:17:00Z</dcterms:created>
  <dcterms:modified xsi:type="dcterms:W3CDTF">2022-01-14T10:17:00Z</dcterms:modified>
</cp:coreProperties>
</file>