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Default="00BB363E" w:rsidP="00BB363E">
      <w:pPr>
        <w:jc w:val="center"/>
        <w:rPr>
          <w:b/>
          <w:bCs/>
          <w:sz w:val="28"/>
          <w:szCs w:val="28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</w:p>
    <w:p w:rsidR="00C843D4" w:rsidRDefault="00C843D4" w:rsidP="00BB363E">
      <w:pPr>
        <w:jc w:val="center"/>
        <w:rPr>
          <w:b/>
          <w:sz w:val="28"/>
          <w:szCs w:val="28"/>
          <w:lang w:val="uk-UA"/>
        </w:rPr>
      </w:pPr>
      <w:r w:rsidRPr="00C843D4">
        <w:rPr>
          <w:b/>
          <w:sz w:val="28"/>
          <w:szCs w:val="28"/>
          <w:lang w:val="uk-UA"/>
        </w:rPr>
        <w:t xml:space="preserve">Хлібопродукти, свіжовипечені хлібобулочні та кондитерські вироби </w:t>
      </w:r>
    </w:p>
    <w:p w:rsidR="00C843D4" w:rsidRDefault="00C843D4" w:rsidP="00BB363E">
      <w:pPr>
        <w:jc w:val="center"/>
        <w:rPr>
          <w:b/>
          <w:sz w:val="28"/>
          <w:szCs w:val="28"/>
          <w:lang w:val="uk-UA"/>
        </w:rPr>
      </w:pPr>
      <w:r w:rsidRPr="00C843D4">
        <w:rPr>
          <w:b/>
          <w:sz w:val="28"/>
          <w:szCs w:val="28"/>
          <w:lang w:val="uk-UA"/>
        </w:rPr>
        <w:t>(код ДК 021:2015 – 15810000-9)</w:t>
      </w:r>
    </w:p>
    <w:p w:rsidR="00C843D4" w:rsidRPr="002A7B6F" w:rsidRDefault="00C843D4" w:rsidP="00BB363E">
      <w:pPr>
        <w:jc w:val="center"/>
        <w:rPr>
          <w:b/>
          <w:sz w:val="28"/>
          <w:szCs w:val="28"/>
          <w:lang w:val="uk-UA"/>
        </w:rPr>
      </w:pPr>
      <w:r w:rsidRPr="00C843D4">
        <w:rPr>
          <w:b/>
          <w:sz w:val="28"/>
          <w:szCs w:val="28"/>
          <w:lang w:val="uk-UA"/>
        </w:rPr>
        <w:t>(Хліб пшеничний різаний, хліб житньо-пшеничний різаний)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4473FE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4473FE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C843D4" w:rsidRDefault="00004385" w:rsidP="00C843D4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C843D4">
              <w:rPr>
                <w:sz w:val="28"/>
                <w:szCs w:val="28"/>
                <w:lang w:val="uk-UA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C843D4" w:rsidRPr="00C843D4">
              <w:rPr>
                <w:sz w:val="28"/>
                <w:szCs w:val="28"/>
                <w:lang w:val="uk-UA"/>
              </w:rPr>
              <w:t xml:space="preserve">Хлібопродукти, свіжовипечені хлібобулочні та кондитерські вироби </w:t>
            </w:r>
            <w:r w:rsidR="00C843D4">
              <w:rPr>
                <w:sz w:val="28"/>
                <w:szCs w:val="28"/>
                <w:lang w:val="uk-UA"/>
              </w:rPr>
              <w:t>(код ДК 021:2015 – 15810000-9)</w:t>
            </w:r>
            <w:r w:rsidR="00C843D4" w:rsidRPr="00C843D4">
              <w:rPr>
                <w:sz w:val="28"/>
                <w:szCs w:val="28"/>
                <w:lang w:val="uk-UA"/>
              </w:rPr>
              <w:t>(Хліб пшеничний різаний, хліб житньо-пшеничний різаний)</w:t>
            </w:r>
          </w:p>
        </w:tc>
      </w:tr>
      <w:tr w:rsidR="002B25C3" w:rsidRPr="004473FE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C843D4" w:rsidP="00C843D4">
            <w:pPr>
              <w:outlineLvl w:val="2"/>
              <w:rPr>
                <w:sz w:val="28"/>
                <w:szCs w:val="28"/>
                <w:lang w:val="uk-UA"/>
              </w:rPr>
            </w:pPr>
            <w:bookmarkStart w:id="0" w:name="_GoBack"/>
            <w:r w:rsidRPr="00C843D4">
              <w:rPr>
                <w:sz w:val="28"/>
                <w:szCs w:val="28"/>
                <w:lang w:val="uk-UA"/>
              </w:rPr>
              <w:t>Хлібопродукти, свіжовипечені хлібобулочні та кондитерські вироби (код ДК 021:2015 – 15810000-9)(Хліб пшеничний різаний, хліб житньо-пшеничний різаний)</w:t>
            </w:r>
            <w:bookmarkEnd w:id="0"/>
          </w:p>
        </w:tc>
      </w:tr>
      <w:tr w:rsidR="00C6261D" w:rsidRPr="009470B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843D4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9470BF" w:rsidRPr="009470BF" w:rsidRDefault="00E76196" w:rsidP="009470B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законодавства України. </w:t>
            </w:r>
            <w:r w:rsidR="009470BF"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 при поставці повинен супроводжуватись видатковою накладною та документами які свідчать про його походження та якість.</w:t>
            </w:r>
          </w:p>
          <w:p w:rsidR="00004385" w:rsidRPr="009470BF" w:rsidRDefault="009470BF" w:rsidP="006E18DC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Документальне підтвердження відповідності товарів: Скан-копії оригіналів особових медичних книжок персоналу з вчасним проходженням медоглядів (водіїв, вантажників, комірників) (за формою затвердженою Наказом Міністерства охорони здоров’я України №150 від 21.02.2013, з обов’язковою відміткою про </w:t>
            </w: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lastRenderedPageBreak/>
              <w:t>п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роходження медичного обстеження; </w:t>
            </w: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Якість запропонованого товару підтверджується посвідченням якості (або декларація виробника)* (відповідно до Закону України «Про безпечність та якість харчових продуктів»), висновком Державної санітарно-епідеміологічної експертизи* (копії, завірені печаткою та підписом посадової особи, подаються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в складі тендерної пропозиції); </w:t>
            </w: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 повинен супроводжуватись документами, що підтверджують якість та безпеку, а саме: копіями сертифікатів якості/відповідності, та/або посвідчень про якість, та/або висновків санітарно–епідеміологічної експертизи, та/або декларації виробника, та/або іншим документальним підтвердженням якості та безпеки товару (у передбачених законодавством випадках).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7448A9">
              <w:rPr>
                <w:sz w:val="28"/>
                <w:szCs w:val="28"/>
                <w:lang w:val="uk-UA" w:bidi="uk-UA"/>
              </w:rPr>
              <w:t>хліба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9470BF">
              <w:rPr>
                <w:sz w:val="28"/>
                <w:szCs w:val="28"/>
                <w:lang w:val="uk-UA" w:bidi="uk-UA"/>
              </w:rPr>
              <w:t>4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Default="007448A9" w:rsidP="006E18DC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Хліб </w:t>
            </w:r>
            <w:r w:rsidR="00A17149">
              <w:rPr>
                <w:sz w:val="28"/>
                <w:szCs w:val="28"/>
                <w:lang w:val="uk-UA" w:bidi="uk-UA"/>
              </w:rPr>
              <w:t>пшеничний різаний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6E18DC" w:rsidRPr="006E18DC">
              <w:rPr>
                <w:sz w:val="28"/>
                <w:szCs w:val="28"/>
                <w:lang w:val="uk-UA" w:bidi="uk-UA"/>
              </w:rPr>
              <w:t>4392</w:t>
            </w:r>
            <w:r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7448A9" w:rsidRDefault="007448A9" w:rsidP="006E18DC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Хліб </w:t>
            </w:r>
            <w:r w:rsidR="00A17149">
              <w:rPr>
                <w:sz w:val="28"/>
                <w:szCs w:val="28"/>
                <w:lang w:val="uk-UA" w:bidi="uk-UA"/>
              </w:rPr>
              <w:t>житній різаний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6E18DC" w:rsidRPr="006E18DC">
              <w:rPr>
                <w:sz w:val="28"/>
                <w:szCs w:val="28"/>
                <w:lang w:val="uk-UA" w:bidi="uk-UA"/>
              </w:rPr>
              <w:t>2196</w:t>
            </w:r>
            <w:r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6E18DC">
              <w:rPr>
                <w:sz w:val="28"/>
                <w:szCs w:val="28"/>
                <w:lang w:val="uk-UA" w:bidi="uk-UA"/>
              </w:rPr>
              <w:t>4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E95D96" w:rsidRPr="00E95D96">
              <w:rPr>
                <w:sz w:val="28"/>
                <w:szCs w:val="28"/>
                <w:lang w:val="uk-UA" w:bidi="uk-UA"/>
              </w:rPr>
              <w:t>171 288</w:t>
            </w:r>
            <w:r w:rsidR="007448A9">
              <w:rPr>
                <w:sz w:val="28"/>
                <w:szCs w:val="28"/>
                <w:lang w:val="uk-UA" w:bidi="uk-UA"/>
              </w:rPr>
              <w:t>,00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A0" w:rsidRDefault="00D008A0" w:rsidP="006B39BE">
      <w:r>
        <w:separator/>
      </w:r>
    </w:p>
  </w:endnote>
  <w:endnote w:type="continuationSeparator" w:id="0">
    <w:p w:rsidR="00D008A0" w:rsidRDefault="00D008A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A0" w:rsidRDefault="00D008A0" w:rsidP="006B39BE">
      <w:r>
        <w:separator/>
      </w:r>
    </w:p>
  </w:footnote>
  <w:footnote w:type="continuationSeparator" w:id="0">
    <w:p w:rsidR="00D008A0" w:rsidRDefault="00D008A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473FE"/>
    <w:rsid w:val="00472721"/>
    <w:rsid w:val="00475E72"/>
    <w:rsid w:val="0048622C"/>
    <w:rsid w:val="004867D7"/>
    <w:rsid w:val="0048744F"/>
    <w:rsid w:val="00491C04"/>
    <w:rsid w:val="00492065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18DC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470BF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43D4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08A0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95D96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758490-C7DC-4E60-9D29-071EB67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32D9-BD31-4764-B9F6-A671999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2023-12-15T10:06:00Z</dcterms:created>
  <dcterms:modified xsi:type="dcterms:W3CDTF">2023-12-15T10:06:00Z</dcterms:modified>
</cp:coreProperties>
</file>