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0E9" w:rsidRPr="00110F19" w:rsidRDefault="00B400E9" w:rsidP="00B400E9">
      <w:pPr>
        <w:spacing w:after="0" w:line="240" w:lineRule="auto"/>
        <w:jc w:val="center"/>
        <w:rPr>
          <w:rFonts w:ascii="Times New Roman" w:hAnsi="Times New Roman" w:cs="Times New Roman"/>
          <w:b/>
          <w:color w:val="000000"/>
          <w:sz w:val="24"/>
          <w:szCs w:val="24"/>
          <w:lang w:val="uk-UA"/>
        </w:rPr>
      </w:pPr>
      <w:r w:rsidRPr="00110F19">
        <w:rPr>
          <w:rFonts w:ascii="Times New Roman" w:hAnsi="Times New Roman" w:cs="Times New Roman"/>
          <w:b/>
          <w:color w:val="000000"/>
          <w:sz w:val="24"/>
          <w:szCs w:val="24"/>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400E9" w:rsidRPr="00110F19" w:rsidRDefault="00B400E9" w:rsidP="00B400E9">
      <w:pPr>
        <w:spacing w:after="0" w:line="240" w:lineRule="auto"/>
        <w:jc w:val="center"/>
        <w:rPr>
          <w:rFonts w:ascii="Times New Roman" w:hAnsi="Times New Roman" w:cs="Times New Roman"/>
          <w:b/>
          <w:color w:val="000000"/>
          <w:sz w:val="24"/>
          <w:szCs w:val="24"/>
          <w:lang w:val="uk-UA"/>
        </w:rPr>
      </w:pPr>
      <w:r w:rsidRPr="00110F19">
        <w:rPr>
          <w:rFonts w:ascii="Times New Roman" w:hAnsi="Times New Roman" w:cs="Times New Roman"/>
          <w:b/>
          <w:color w:val="000000"/>
          <w:sz w:val="24"/>
          <w:szCs w:val="24"/>
          <w:lang w:val="uk-UA"/>
        </w:rPr>
        <w:t>(відповідно до пункту 4</w:t>
      </w:r>
      <w:r>
        <w:rPr>
          <w:rFonts w:ascii="Times New Roman" w:hAnsi="Times New Roman" w:cs="Times New Roman"/>
          <w:b/>
          <w:color w:val="000000"/>
          <w:sz w:val="24"/>
          <w:szCs w:val="24"/>
          <w:lang w:val="uk-UA"/>
        </w:rPr>
        <w:t>¹</w:t>
      </w:r>
      <w:r w:rsidRPr="00110F19">
        <w:rPr>
          <w:rFonts w:ascii="Times New Roman" w:hAnsi="Times New Roman" w:cs="Times New Roman"/>
          <w:b/>
          <w:color w:val="000000"/>
          <w:sz w:val="24"/>
          <w:szCs w:val="24"/>
          <w:lang w:val="uk-UA"/>
        </w:rPr>
        <w:t xml:space="preserve"> постанови КМУ від 11.10.2016 № 710 «Про ефективне використання державних коштів» (зі змінами))</w:t>
      </w:r>
    </w:p>
    <w:p w:rsidR="006F42B6" w:rsidRPr="005C5B1C" w:rsidRDefault="006F42B6">
      <w:pPr>
        <w:shd w:val="clear" w:color="auto" w:fill="FFFFFF"/>
        <w:spacing w:after="0" w:line="240" w:lineRule="auto"/>
        <w:ind w:firstLine="708"/>
        <w:jc w:val="both"/>
        <w:rPr>
          <w:rFonts w:ascii="Times New Roman" w:eastAsia="Times New Roman" w:hAnsi="Times New Roman" w:cs="Times New Roman"/>
          <w:noProof/>
          <w:color w:val="000000"/>
          <w:sz w:val="24"/>
          <w:szCs w:val="24"/>
          <w:lang w:val="uk-UA"/>
        </w:rPr>
      </w:pPr>
    </w:p>
    <w:p w:rsidR="00A42186" w:rsidRDefault="00A42186" w:rsidP="009C3132">
      <w:pPr>
        <w:pStyle w:val="af1"/>
        <w:numPr>
          <w:ilvl w:val="0"/>
          <w:numId w:val="1"/>
        </w:numPr>
        <w:jc w:val="both"/>
        <w:outlineLvl w:val="0"/>
        <w:rPr>
          <w:noProof/>
          <w:color w:val="000000"/>
          <w:lang w:val="uk-UA"/>
        </w:rPr>
      </w:pPr>
      <w:r w:rsidRPr="00A42186">
        <w:rPr>
          <w:b/>
          <w:color w:val="000000"/>
          <w:u w:val="single"/>
          <w:lang w:val="uk-UA" w:eastAsia="ar-SA"/>
        </w:rPr>
        <w:t>Предмет закупівлі:</w:t>
      </w:r>
      <w:r w:rsidRPr="00A42186">
        <w:rPr>
          <w:b/>
          <w:color w:val="000000"/>
          <w:lang w:val="uk-UA" w:eastAsia="ar-SA"/>
        </w:rPr>
        <w:t xml:space="preserve"> </w:t>
      </w:r>
      <w:r w:rsidRPr="00A42186">
        <w:rPr>
          <w:color w:val="000000"/>
          <w:lang w:val="uk-UA" w:eastAsia="ar-SA"/>
        </w:rPr>
        <w:t xml:space="preserve">ДК 021:2015: 09120000-6 Газове паливо (Природний газ), Природний газ </w:t>
      </w:r>
      <w:r w:rsidR="00C77A9C">
        <w:rPr>
          <w:color w:val="000000"/>
          <w:lang w:val="uk-UA" w:eastAsia="ar-SA"/>
        </w:rPr>
        <w:t>–</w:t>
      </w:r>
      <w:r w:rsidRPr="00A42186">
        <w:rPr>
          <w:color w:val="000000"/>
          <w:lang w:val="uk-UA" w:eastAsia="ar-SA"/>
        </w:rPr>
        <w:t xml:space="preserve"> </w:t>
      </w:r>
      <w:r w:rsidR="000B2BBA">
        <w:rPr>
          <w:color w:val="000000"/>
          <w:lang w:val="uk-UA" w:eastAsia="ar-SA"/>
        </w:rPr>
        <w:t>7</w:t>
      </w:r>
      <w:r w:rsidR="00C77A9C" w:rsidRPr="00C77A9C">
        <w:rPr>
          <w:color w:val="000000"/>
          <w:lang w:eastAsia="ar-SA"/>
        </w:rPr>
        <w:t xml:space="preserve"> </w:t>
      </w:r>
      <w:r w:rsidR="000B2BBA">
        <w:rPr>
          <w:color w:val="000000"/>
          <w:lang w:val="uk-UA" w:eastAsia="ar-SA"/>
        </w:rPr>
        <w:t>5</w:t>
      </w:r>
      <w:r w:rsidRPr="00A42186">
        <w:rPr>
          <w:color w:val="000000"/>
          <w:lang w:val="uk-UA" w:eastAsia="ar-SA"/>
        </w:rPr>
        <w:t>00 метри кубічні.</w:t>
      </w:r>
    </w:p>
    <w:p w:rsidR="00737AEA" w:rsidRDefault="00A42186" w:rsidP="00A42186">
      <w:pPr>
        <w:pStyle w:val="af1"/>
        <w:jc w:val="both"/>
        <w:outlineLvl w:val="0"/>
        <w:rPr>
          <w:color w:val="000000"/>
          <w:lang w:val="uk-UA" w:eastAsia="ar-SA"/>
        </w:rPr>
      </w:pPr>
      <w:r w:rsidRPr="00A42186">
        <w:rPr>
          <w:color w:val="000000"/>
          <w:lang w:val="uk-UA" w:eastAsia="ar-SA"/>
        </w:rPr>
        <w:t xml:space="preserve"> Ідентифікатор закупівлі </w:t>
      </w:r>
      <w:r w:rsidR="000B2BBA" w:rsidRPr="000B2BBA">
        <w:rPr>
          <w:color w:val="000000"/>
          <w:lang w:val="uk-UA" w:eastAsia="ar-SA"/>
        </w:rPr>
        <w:t>UA-2024-09-18-003343-a</w:t>
      </w:r>
    </w:p>
    <w:p w:rsidR="006F42B6" w:rsidRPr="00A42186" w:rsidRDefault="0020170C" w:rsidP="00A42186">
      <w:pPr>
        <w:pStyle w:val="af1"/>
        <w:jc w:val="both"/>
        <w:outlineLvl w:val="0"/>
        <w:rPr>
          <w:noProof/>
          <w:color w:val="000000"/>
          <w:lang w:val="uk-UA"/>
        </w:rPr>
      </w:pPr>
      <w:r w:rsidRPr="00A42186">
        <w:rPr>
          <w:b/>
          <w:noProof/>
          <w:color w:val="000000"/>
          <w:lang w:val="uk-UA"/>
        </w:rPr>
        <w:t>Детальний опис предмета закупівлі:</w:t>
      </w:r>
    </w:p>
    <w:tbl>
      <w:tblPr>
        <w:tblStyle w:val="TableNormal"/>
        <w:tblW w:w="9675" w:type="dxa"/>
        <w:tblInd w:w="9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7" w:type="dxa"/>
          <w:right w:w="108" w:type="dxa"/>
        </w:tblCellMar>
        <w:tblLook w:val="0000" w:firstRow="0" w:lastRow="0" w:firstColumn="0" w:lastColumn="0" w:noHBand="0" w:noVBand="0"/>
      </w:tblPr>
      <w:tblGrid>
        <w:gridCol w:w="4409"/>
        <w:gridCol w:w="5266"/>
      </w:tblGrid>
      <w:tr w:rsidR="006F42B6" w:rsidRPr="005C5B1C" w:rsidTr="00737AEA">
        <w:trPr>
          <w:trHeight w:val="552"/>
        </w:trPr>
        <w:tc>
          <w:tcPr>
            <w:tcW w:w="4409"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20170C">
            <w:pPr>
              <w:spacing w:line="240" w:lineRule="auto"/>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sz w:val="24"/>
                <w:szCs w:val="24"/>
                <w:lang w:val="uk-UA"/>
              </w:rPr>
              <w:t xml:space="preserve">Назва предмета закупівлі </w:t>
            </w:r>
          </w:p>
        </w:tc>
        <w:tc>
          <w:tcPr>
            <w:tcW w:w="5266"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20170C">
            <w:pPr>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color w:val="000000"/>
                <w:sz w:val="24"/>
                <w:szCs w:val="24"/>
                <w:lang w:val="uk-UA"/>
              </w:rPr>
              <w:t>Природний газ</w:t>
            </w:r>
          </w:p>
        </w:tc>
      </w:tr>
      <w:tr w:rsidR="006F42B6" w:rsidRPr="005C5B1C" w:rsidTr="00737AEA">
        <w:trPr>
          <w:trHeight w:val="552"/>
        </w:trPr>
        <w:tc>
          <w:tcPr>
            <w:tcW w:w="4409"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20170C">
            <w:pPr>
              <w:spacing w:line="240" w:lineRule="auto"/>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color w:val="000000"/>
                <w:sz w:val="24"/>
                <w:szCs w:val="24"/>
                <w:lang w:val="uk-UA"/>
              </w:rPr>
              <w:t xml:space="preserve">Код ДК 021:2015 за Єдиним закупівельним словником </w:t>
            </w:r>
          </w:p>
        </w:tc>
        <w:tc>
          <w:tcPr>
            <w:tcW w:w="5266"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20170C">
            <w:pPr>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color w:val="000000"/>
                <w:sz w:val="24"/>
                <w:szCs w:val="24"/>
                <w:lang w:val="uk-UA"/>
              </w:rPr>
              <w:t>09120000-6 – газове паливо</w:t>
            </w:r>
          </w:p>
        </w:tc>
      </w:tr>
      <w:tr w:rsidR="006F42B6" w:rsidRPr="005C5B1C" w:rsidTr="00737AEA">
        <w:trPr>
          <w:trHeight w:val="552"/>
        </w:trPr>
        <w:tc>
          <w:tcPr>
            <w:tcW w:w="4409"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20170C">
            <w:pPr>
              <w:spacing w:line="240" w:lineRule="auto"/>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sz w:val="24"/>
                <w:szCs w:val="24"/>
                <w:lang w:val="uk-UA"/>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5266"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20170C">
            <w:pPr>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sz w:val="24"/>
                <w:szCs w:val="24"/>
                <w:lang w:val="uk-UA"/>
              </w:rPr>
              <w:t>природний газ: 09123000-7 – природний газ</w:t>
            </w:r>
          </w:p>
        </w:tc>
      </w:tr>
      <w:tr w:rsidR="006F42B6" w:rsidRPr="005C5B1C" w:rsidTr="00737AEA">
        <w:trPr>
          <w:trHeight w:val="632"/>
        </w:trPr>
        <w:tc>
          <w:tcPr>
            <w:tcW w:w="4409"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20170C">
            <w:pPr>
              <w:spacing w:line="240" w:lineRule="auto"/>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color w:val="000000"/>
                <w:sz w:val="24"/>
                <w:szCs w:val="24"/>
                <w:lang w:val="uk-UA"/>
              </w:rPr>
              <w:t>Одиниці виміру</w:t>
            </w:r>
          </w:p>
        </w:tc>
        <w:tc>
          <w:tcPr>
            <w:tcW w:w="526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6F42B6" w:rsidRPr="005C5B1C" w:rsidRDefault="0020170C">
            <w:pPr>
              <w:spacing w:after="0"/>
              <w:jc w:val="both"/>
              <w:rPr>
                <w:noProof/>
                <w:lang w:val="uk-UA"/>
              </w:rPr>
            </w:pPr>
            <w:r w:rsidRPr="005C5B1C">
              <w:rPr>
                <w:rFonts w:ascii="Times New Roman" w:eastAsia="Times New Roman" w:hAnsi="Times New Roman" w:cs="Times New Roman"/>
                <w:noProof/>
                <w:color w:val="000000"/>
                <w:sz w:val="24"/>
                <w:szCs w:val="24"/>
                <w:lang w:val="uk-UA"/>
              </w:rPr>
              <w:t xml:space="preserve">метри кубічні </w:t>
            </w:r>
            <w:r w:rsidRPr="005C5B1C">
              <w:rPr>
                <w:rFonts w:ascii="Times New Roman" w:eastAsia="Times New Roman" w:hAnsi="Times New Roman" w:cs="Times New Roman"/>
                <w:noProof/>
                <w:sz w:val="24"/>
                <w:szCs w:val="24"/>
                <w:lang w:val="uk-UA"/>
              </w:rPr>
              <w:t>(м/ куб.)</w:t>
            </w:r>
          </w:p>
          <w:p w:rsidR="006F42B6" w:rsidRPr="005C5B1C" w:rsidRDefault="006F42B6">
            <w:pPr>
              <w:spacing w:after="0"/>
              <w:jc w:val="both"/>
              <w:rPr>
                <w:rFonts w:ascii="Times New Roman" w:eastAsia="Times New Roman" w:hAnsi="Times New Roman" w:cs="Times New Roman"/>
                <w:noProof/>
                <w:sz w:val="24"/>
                <w:szCs w:val="24"/>
                <w:lang w:val="uk-UA"/>
              </w:rPr>
            </w:pPr>
          </w:p>
        </w:tc>
      </w:tr>
      <w:tr w:rsidR="006F42B6" w:rsidRPr="005C5B1C" w:rsidTr="00737AEA">
        <w:trPr>
          <w:trHeight w:val="632"/>
        </w:trPr>
        <w:tc>
          <w:tcPr>
            <w:tcW w:w="4409"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20170C">
            <w:pPr>
              <w:spacing w:line="240" w:lineRule="auto"/>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color w:val="000000"/>
                <w:sz w:val="24"/>
                <w:szCs w:val="24"/>
                <w:lang w:val="uk-UA"/>
              </w:rPr>
              <w:t>Кількість (обсяг), м. куб.</w:t>
            </w:r>
          </w:p>
        </w:tc>
        <w:tc>
          <w:tcPr>
            <w:tcW w:w="5266"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6F42B6" w:rsidRPr="005C5B1C" w:rsidRDefault="000B2BBA">
            <w:pPr>
              <w:spacing w:after="0"/>
              <w:jc w:val="both"/>
              <w:rPr>
                <w:noProof/>
                <w:lang w:val="uk-UA"/>
              </w:rPr>
            </w:pPr>
            <w:r>
              <w:rPr>
                <w:rFonts w:ascii="Times New Roman" w:eastAsia="Times New Roman" w:hAnsi="Times New Roman" w:cs="Times New Roman"/>
                <w:noProof/>
                <w:color w:val="000000"/>
                <w:sz w:val="24"/>
                <w:szCs w:val="24"/>
                <w:lang w:val="uk-UA"/>
              </w:rPr>
              <w:t>7 5</w:t>
            </w:r>
            <w:r w:rsidR="0020170C" w:rsidRPr="005C5B1C">
              <w:rPr>
                <w:rFonts w:ascii="Times New Roman" w:eastAsia="Times New Roman" w:hAnsi="Times New Roman" w:cs="Times New Roman"/>
                <w:noProof/>
                <w:color w:val="000000"/>
                <w:sz w:val="24"/>
                <w:szCs w:val="24"/>
                <w:lang w:val="uk-UA"/>
              </w:rPr>
              <w:t>00 м/куб.</w:t>
            </w:r>
          </w:p>
        </w:tc>
      </w:tr>
      <w:tr w:rsidR="00737AEA" w:rsidRPr="005C5B1C" w:rsidTr="00737AEA">
        <w:trPr>
          <w:trHeight w:val="632"/>
        </w:trPr>
        <w:tc>
          <w:tcPr>
            <w:tcW w:w="4409"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737AEA" w:rsidRPr="005C5B1C" w:rsidRDefault="00737AEA" w:rsidP="00737AEA">
            <w:pPr>
              <w:spacing w:line="240" w:lineRule="auto"/>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color w:val="000000"/>
                <w:sz w:val="24"/>
                <w:szCs w:val="24"/>
                <w:lang w:val="uk-UA"/>
              </w:rPr>
              <w:t>Місце поставки товару</w:t>
            </w:r>
          </w:p>
        </w:tc>
        <w:tc>
          <w:tcPr>
            <w:tcW w:w="526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737AEA" w:rsidRPr="0057616C" w:rsidRDefault="00737AEA" w:rsidP="00737AEA">
            <w:pPr>
              <w:spacing w:after="0"/>
              <w:jc w:val="both"/>
            </w:pPr>
            <w:r w:rsidRPr="0057616C">
              <w:rPr>
                <w:rFonts w:ascii="Times New Roman" w:eastAsia="Times New Roman" w:hAnsi="Times New Roman" w:cs="Times New Roman"/>
                <w:noProof/>
                <w:color w:val="000000"/>
                <w:sz w:val="24"/>
                <w:szCs w:val="24"/>
                <w:lang w:val="uk-UA"/>
              </w:rPr>
              <w:t>Місце поставки товарів: Україна, Чернівецька область, за об’єктами УДМС у Чернівецькій області  які приєднані до газотранспортної мережі.</w:t>
            </w:r>
          </w:p>
        </w:tc>
      </w:tr>
      <w:tr w:rsidR="00737AEA" w:rsidRPr="005C5B1C" w:rsidTr="00737AEA">
        <w:trPr>
          <w:trHeight w:val="632"/>
        </w:trPr>
        <w:tc>
          <w:tcPr>
            <w:tcW w:w="4409" w:type="dxa"/>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737AEA" w:rsidRPr="005C5B1C" w:rsidRDefault="00737AEA" w:rsidP="00737AEA">
            <w:pPr>
              <w:spacing w:line="240" w:lineRule="auto"/>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color w:val="000000"/>
                <w:sz w:val="24"/>
                <w:szCs w:val="24"/>
                <w:lang w:val="uk-UA"/>
              </w:rPr>
              <w:t>Строк поставки товару</w:t>
            </w:r>
          </w:p>
        </w:tc>
        <w:tc>
          <w:tcPr>
            <w:tcW w:w="526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737AEA" w:rsidRPr="005C5B1C" w:rsidRDefault="00737AEA" w:rsidP="000B2BBA">
            <w:pPr>
              <w:spacing w:after="0"/>
              <w:jc w:val="both"/>
              <w:rPr>
                <w:noProof/>
                <w:color w:val="000000"/>
                <w:lang w:val="uk-UA"/>
              </w:rPr>
            </w:pPr>
            <w:r w:rsidRPr="005D35BD">
              <w:rPr>
                <w:rFonts w:ascii="Times New Roman" w:eastAsia="Times New Roman" w:hAnsi="Times New Roman" w:cs="Times New Roman"/>
                <w:color w:val="000000"/>
                <w:sz w:val="24"/>
                <w:szCs w:val="24"/>
                <w:lang w:val="uk-UA"/>
              </w:rPr>
              <w:t xml:space="preserve"> до </w:t>
            </w:r>
            <w:r w:rsidR="000B2BBA">
              <w:rPr>
                <w:rFonts w:ascii="Times New Roman" w:eastAsia="Times New Roman" w:hAnsi="Times New Roman" w:cs="Times New Roman"/>
                <w:color w:val="000000"/>
                <w:sz w:val="24"/>
                <w:szCs w:val="24"/>
                <w:lang w:val="uk-UA"/>
              </w:rPr>
              <w:t xml:space="preserve">31.12.2024 </w:t>
            </w:r>
            <w:r w:rsidRPr="005D35BD">
              <w:rPr>
                <w:rFonts w:ascii="Times New Roman" w:eastAsia="Times New Roman" w:hAnsi="Times New Roman" w:cs="Times New Roman"/>
                <w:color w:val="000000"/>
                <w:sz w:val="24"/>
                <w:szCs w:val="24"/>
                <w:lang w:val="uk-UA"/>
              </w:rPr>
              <w:t>включно.</w:t>
            </w:r>
          </w:p>
        </w:tc>
      </w:tr>
    </w:tbl>
    <w:p w:rsidR="006F42B6" w:rsidRPr="005C5B1C" w:rsidRDefault="006F42B6">
      <w:pPr>
        <w:tabs>
          <w:tab w:val="left" w:pos="284"/>
        </w:tabs>
        <w:spacing w:after="0" w:line="240" w:lineRule="auto"/>
        <w:jc w:val="both"/>
        <w:rPr>
          <w:rFonts w:ascii="Times New Roman" w:eastAsia="Times New Roman" w:hAnsi="Times New Roman" w:cs="Times New Roman"/>
          <w:noProof/>
          <w:color w:val="000000"/>
          <w:sz w:val="24"/>
          <w:szCs w:val="24"/>
          <w:lang w:val="uk-UA"/>
        </w:rPr>
      </w:pPr>
    </w:p>
    <w:p w:rsidR="000A5CF2" w:rsidRDefault="00A42186" w:rsidP="00737AEA">
      <w:pPr>
        <w:pStyle w:val="af1"/>
        <w:numPr>
          <w:ilvl w:val="0"/>
          <w:numId w:val="1"/>
        </w:numPr>
        <w:jc w:val="both"/>
        <w:rPr>
          <w:color w:val="000000"/>
          <w:lang w:val="uk-UA"/>
        </w:rPr>
      </w:pPr>
      <w:r>
        <w:rPr>
          <w:b/>
          <w:color w:val="000000"/>
          <w:lang w:val="uk-UA"/>
        </w:rPr>
        <w:t xml:space="preserve">Очікувана вартість предмета закупівлі: </w:t>
      </w:r>
      <w:r w:rsidR="000B2BBA">
        <w:rPr>
          <w:b/>
          <w:color w:val="000000"/>
          <w:lang w:val="uk-UA"/>
        </w:rPr>
        <w:t xml:space="preserve">124 154,18 </w:t>
      </w:r>
      <w:r w:rsidR="00737AEA" w:rsidRPr="00737AEA">
        <w:rPr>
          <w:b/>
          <w:color w:val="000000"/>
          <w:lang w:val="uk-UA"/>
        </w:rPr>
        <w:t xml:space="preserve"> грн з ПДВ</w:t>
      </w:r>
      <w:r>
        <w:rPr>
          <w:color w:val="000000"/>
          <w:lang w:val="uk-UA"/>
        </w:rPr>
        <w:t xml:space="preserve">, </w:t>
      </w:r>
      <w:r w:rsidR="000B2BBA">
        <w:rPr>
          <w:color w:val="000000"/>
          <w:lang w:val="uk-UA"/>
        </w:rPr>
        <w:t xml:space="preserve">закупівля </w:t>
      </w:r>
      <w:bookmarkStart w:id="0" w:name="_GoBack"/>
      <w:bookmarkEnd w:id="0"/>
      <w:r w:rsidR="000A5CF2">
        <w:rPr>
          <w:color w:val="000000"/>
          <w:lang w:val="uk-UA"/>
        </w:rPr>
        <w:t>здійснюється за рахунок потреби на 202</w:t>
      </w:r>
      <w:r w:rsidR="00737AEA">
        <w:rPr>
          <w:color w:val="000000"/>
          <w:lang w:val="uk-UA"/>
        </w:rPr>
        <w:t>4</w:t>
      </w:r>
      <w:r w:rsidR="000A5CF2">
        <w:rPr>
          <w:color w:val="000000"/>
          <w:lang w:val="uk-UA"/>
        </w:rPr>
        <w:t xml:space="preserve"> рік. Р</w:t>
      </w:r>
      <w:r>
        <w:rPr>
          <w:color w:val="000000"/>
          <w:lang w:val="uk-UA"/>
        </w:rPr>
        <w:t xml:space="preserve">озмір бюджетного призначення на оплату </w:t>
      </w:r>
      <w:r w:rsidR="000A5CF2">
        <w:rPr>
          <w:color w:val="000000"/>
          <w:lang w:val="uk-UA"/>
        </w:rPr>
        <w:t>газового палива встановлюється кошторисними призначеннями на 202</w:t>
      </w:r>
      <w:r w:rsidR="00737AEA">
        <w:rPr>
          <w:color w:val="000000"/>
          <w:lang w:val="uk-UA"/>
        </w:rPr>
        <w:t>4</w:t>
      </w:r>
      <w:r w:rsidR="000A5CF2">
        <w:rPr>
          <w:color w:val="000000"/>
          <w:lang w:val="uk-UA"/>
        </w:rPr>
        <w:t xml:space="preserve">  рік.</w:t>
      </w:r>
    </w:p>
    <w:p w:rsidR="000B2BBA" w:rsidRDefault="000B2BBA" w:rsidP="000B2BBA">
      <w:pPr>
        <w:pStyle w:val="af1"/>
        <w:jc w:val="both"/>
        <w:rPr>
          <w:color w:val="000000"/>
          <w:lang w:val="uk-UA"/>
        </w:rPr>
      </w:pPr>
    </w:p>
    <w:p w:rsidR="000B2BBA" w:rsidRPr="000B2BBA" w:rsidRDefault="000B2BBA" w:rsidP="000B2BBA">
      <w:pPr>
        <w:pStyle w:val="af1"/>
        <w:ind w:firstLine="720"/>
        <w:jc w:val="both"/>
        <w:rPr>
          <w:color w:val="000000"/>
          <w:lang w:val="uk-UA"/>
        </w:rPr>
      </w:pPr>
      <w:r w:rsidRPr="000B2BBA">
        <w:rPr>
          <w:color w:val="000000"/>
          <w:lang w:val="uk-UA"/>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визначається з урахуванням положень Закону України «Про ринок природного газу», Постанови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а саме: розрахунок очікуваної вартості товарів/послуг, щодо яких проводиться державне регулювання цін і тарифів та з урахуванням інформації, отриманої з Інтернет-ресурсів.</w:t>
      </w:r>
    </w:p>
    <w:p w:rsidR="000A5CF2" w:rsidRDefault="000B2BBA" w:rsidP="000B2BBA">
      <w:pPr>
        <w:pStyle w:val="af1"/>
        <w:ind w:firstLine="720"/>
        <w:rPr>
          <w:color w:val="000000"/>
          <w:lang w:val="uk-UA"/>
        </w:rPr>
      </w:pPr>
      <w:r w:rsidRPr="000B2BBA">
        <w:rPr>
          <w:color w:val="000000"/>
          <w:lang w:val="uk-UA"/>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p w:rsidR="000B2BBA" w:rsidRDefault="000B2BBA" w:rsidP="000B2BBA">
      <w:pPr>
        <w:pStyle w:val="af1"/>
        <w:rPr>
          <w:color w:val="000000"/>
          <w:lang w:val="uk-UA"/>
        </w:rPr>
      </w:pPr>
    </w:p>
    <w:p w:rsidR="006F42B6" w:rsidRPr="00A42186" w:rsidRDefault="0020170C" w:rsidP="00A42186">
      <w:pPr>
        <w:numPr>
          <w:ilvl w:val="0"/>
          <w:numId w:val="1"/>
        </w:numPr>
        <w:rPr>
          <w:rFonts w:ascii="Times New Roman" w:eastAsia="Times New Roman" w:hAnsi="Times New Roman" w:cs="Times New Roman"/>
          <w:noProof/>
          <w:color w:val="000000"/>
          <w:sz w:val="24"/>
          <w:szCs w:val="24"/>
          <w:lang w:val="uk-UA"/>
        </w:rPr>
      </w:pPr>
      <w:r w:rsidRPr="00A42186">
        <w:rPr>
          <w:rFonts w:ascii="Times New Roman" w:eastAsia="Times New Roman" w:hAnsi="Times New Roman" w:cs="Times New Roman"/>
          <w:b/>
          <w:noProof/>
          <w:color w:val="000000"/>
          <w:sz w:val="24"/>
          <w:szCs w:val="24"/>
          <w:lang w:val="uk-UA"/>
        </w:rPr>
        <w:t xml:space="preserve">Вимоги щодо якості природного газу. </w:t>
      </w:r>
    </w:p>
    <w:p w:rsidR="006F42B6" w:rsidRPr="005C5B1C" w:rsidRDefault="0020170C">
      <w:pPr>
        <w:shd w:val="clear" w:color="auto" w:fill="FFFFFF"/>
        <w:ind w:firstLine="567"/>
        <w:jc w:val="both"/>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noProof/>
          <w:sz w:val="24"/>
          <w:szCs w:val="24"/>
          <w:lang w:val="uk-UA"/>
        </w:rPr>
        <w:lastRenderedPageBreak/>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Кодексом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w:t>
      </w:r>
    </w:p>
    <w:p w:rsidR="006F42B6" w:rsidRPr="005C5B1C" w:rsidRDefault="0020170C">
      <w:pPr>
        <w:spacing w:after="0"/>
        <w:ind w:firstLine="567"/>
        <w:jc w:val="both"/>
        <w:rPr>
          <w:rFonts w:ascii="Times New Roman" w:eastAsia="Times New Roman" w:hAnsi="Times New Roman" w:cs="Times New Roman"/>
          <w:noProof/>
          <w:color w:val="000000"/>
          <w:sz w:val="24"/>
          <w:szCs w:val="24"/>
          <w:lang w:val="uk-UA"/>
        </w:rPr>
      </w:pPr>
      <w:r w:rsidRPr="005C5B1C">
        <w:rPr>
          <w:rFonts w:ascii="Times New Roman" w:eastAsia="Times New Roman" w:hAnsi="Times New Roman" w:cs="Times New Roman"/>
          <w:noProof/>
          <w:color w:val="000000"/>
          <w:sz w:val="24"/>
          <w:szCs w:val="24"/>
          <w:lang w:val="uk-UA"/>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rsidR="006F42B6" w:rsidRPr="005C5B1C" w:rsidRDefault="006F42B6">
      <w:pPr>
        <w:spacing w:after="0"/>
        <w:ind w:firstLine="567"/>
        <w:jc w:val="both"/>
        <w:rPr>
          <w:rFonts w:ascii="Times New Roman" w:eastAsia="Times New Roman" w:hAnsi="Times New Roman" w:cs="Times New Roman"/>
          <w:noProof/>
          <w:sz w:val="24"/>
          <w:szCs w:val="24"/>
          <w:lang w:val="uk-UA"/>
        </w:rPr>
      </w:pPr>
    </w:p>
    <w:p w:rsidR="006F42B6" w:rsidRPr="005C5B1C" w:rsidRDefault="0020170C">
      <w:pPr>
        <w:numPr>
          <w:ilvl w:val="0"/>
          <w:numId w:val="1"/>
        </w:numPr>
        <w:tabs>
          <w:tab w:val="left" w:pos="284"/>
          <w:tab w:val="left" w:pos="993"/>
          <w:tab w:val="left" w:pos="1560"/>
        </w:tabs>
        <w:rPr>
          <w:rFonts w:ascii="Times New Roman" w:eastAsia="Times New Roman" w:hAnsi="Times New Roman" w:cs="Times New Roman"/>
          <w:b/>
          <w:noProof/>
          <w:sz w:val="24"/>
          <w:szCs w:val="24"/>
          <w:lang w:val="uk-UA"/>
        </w:rPr>
      </w:pPr>
      <w:r w:rsidRPr="005C5B1C">
        <w:rPr>
          <w:rFonts w:ascii="Times New Roman" w:eastAsia="Times New Roman" w:hAnsi="Times New Roman" w:cs="Times New Roman"/>
          <w:b/>
          <w:noProof/>
          <w:sz w:val="24"/>
          <w:szCs w:val="24"/>
          <w:lang w:val="uk-UA"/>
        </w:rPr>
        <w:t>Особливі вимоги до предмета закупівлі.</w:t>
      </w:r>
    </w:p>
    <w:p w:rsidR="006F42B6" w:rsidRPr="005C5B1C" w:rsidRDefault="0020170C">
      <w:pPr>
        <w:tabs>
          <w:tab w:val="left" w:pos="284"/>
          <w:tab w:val="left" w:pos="993"/>
          <w:tab w:val="left" w:pos="1560"/>
        </w:tabs>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b/>
          <w:noProof/>
          <w:sz w:val="24"/>
          <w:szCs w:val="24"/>
          <w:lang w:val="uk-UA"/>
        </w:rPr>
        <w:tab/>
      </w:r>
      <w:r w:rsidR="000B2BBA">
        <w:rPr>
          <w:rFonts w:ascii="Times New Roman" w:eastAsia="Times New Roman" w:hAnsi="Times New Roman" w:cs="Times New Roman"/>
          <w:noProof/>
          <w:sz w:val="24"/>
          <w:szCs w:val="24"/>
          <w:lang w:val="uk-UA"/>
        </w:rPr>
        <w:t>4</w:t>
      </w:r>
      <w:r w:rsidRPr="005C5B1C">
        <w:rPr>
          <w:rFonts w:ascii="Times New Roman" w:eastAsia="Times New Roman" w:hAnsi="Times New Roman" w:cs="Times New Roman"/>
          <w:noProof/>
          <w:sz w:val="24"/>
          <w:szCs w:val="24"/>
          <w:lang w:val="uk-UA"/>
        </w:rPr>
        <w:t>.1. До ціни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rsidR="006F42B6" w:rsidRPr="005C5B1C" w:rsidRDefault="0020170C">
      <w:pPr>
        <w:tabs>
          <w:tab w:val="left" w:pos="284"/>
          <w:tab w:val="left" w:pos="993"/>
          <w:tab w:val="left" w:pos="1560"/>
        </w:tabs>
        <w:jc w:val="both"/>
        <w:rPr>
          <w:rFonts w:ascii="Times New Roman" w:eastAsia="Times New Roman" w:hAnsi="Times New Roman" w:cs="Times New Roman"/>
          <w:noProof/>
          <w:sz w:val="24"/>
          <w:szCs w:val="24"/>
          <w:highlight w:val="yellow"/>
          <w:lang w:val="uk-UA"/>
        </w:rPr>
      </w:pPr>
      <w:r w:rsidRPr="005C5B1C">
        <w:rPr>
          <w:rFonts w:ascii="Times New Roman" w:eastAsia="Times New Roman" w:hAnsi="Times New Roman" w:cs="Times New Roman"/>
          <w:noProof/>
          <w:sz w:val="24"/>
          <w:szCs w:val="24"/>
          <w:lang w:val="uk-UA"/>
        </w:rPr>
        <w:tab/>
      </w:r>
      <w:r w:rsidR="000B2BBA">
        <w:rPr>
          <w:rFonts w:ascii="Times New Roman" w:eastAsia="Times New Roman" w:hAnsi="Times New Roman" w:cs="Times New Roman"/>
          <w:noProof/>
          <w:sz w:val="24"/>
          <w:szCs w:val="24"/>
          <w:lang w:val="uk-UA"/>
        </w:rPr>
        <w:t>4</w:t>
      </w:r>
      <w:r w:rsidRPr="005C5B1C">
        <w:rPr>
          <w:rFonts w:ascii="Times New Roman" w:eastAsia="Times New Roman" w:hAnsi="Times New Roman" w:cs="Times New Roman"/>
          <w:noProof/>
          <w:sz w:val="24"/>
          <w:szCs w:val="24"/>
          <w:lang w:val="uk-UA"/>
        </w:rPr>
        <w:t xml:space="preserve">.2. Ціна на предмет даної закупівлі обов'язково повинна включати до вартості ціни тендерної пропозиції вартість </w:t>
      </w:r>
      <w:r w:rsidRPr="005C5B1C">
        <w:rPr>
          <w:rFonts w:ascii="Times New Roman" w:eastAsia="Times New Roman" w:hAnsi="Times New Roman" w:cs="Times New Roman"/>
          <w:b/>
          <w:noProof/>
          <w:sz w:val="24"/>
          <w:szCs w:val="24"/>
          <w:lang w:val="uk-UA"/>
        </w:rPr>
        <w:t>послуг, пов’язаних з транспортуванням газу</w:t>
      </w:r>
      <w:r w:rsidRPr="005C5B1C">
        <w:rPr>
          <w:rFonts w:ascii="Times New Roman" w:eastAsia="Times New Roman" w:hAnsi="Times New Roman" w:cs="Times New Roman"/>
          <w:noProof/>
          <w:sz w:val="24"/>
          <w:szCs w:val="24"/>
          <w:lang w:val="uk-UA"/>
        </w:rPr>
        <w:t xml:space="preserve">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6F42B6" w:rsidRPr="005C5B1C" w:rsidRDefault="0020170C">
      <w:pPr>
        <w:widowControl w:val="0"/>
        <w:ind w:right="55" w:firstLine="567"/>
        <w:jc w:val="both"/>
        <w:rPr>
          <w:rFonts w:ascii="Times New Roman" w:eastAsia="Times New Roman" w:hAnsi="Times New Roman" w:cs="Times New Roman"/>
          <w:b/>
          <w:noProof/>
          <w:sz w:val="24"/>
          <w:szCs w:val="24"/>
          <w:lang w:val="uk-UA"/>
        </w:rPr>
      </w:pPr>
      <w:r w:rsidRPr="005C5B1C">
        <w:rPr>
          <w:rFonts w:ascii="Times New Roman" w:eastAsia="Times New Roman" w:hAnsi="Times New Roman" w:cs="Times New Roman"/>
          <w:noProof/>
          <w:sz w:val="24"/>
          <w:szCs w:val="24"/>
          <w:lang w:val="uk-UA"/>
        </w:rPr>
        <w:t xml:space="preserve">При цьому до ціни газу </w:t>
      </w:r>
      <w:r w:rsidRPr="005C5B1C">
        <w:rPr>
          <w:rFonts w:ascii="Times New Roman" w:eastAsia="Times New Roman" w:hAnsi="Times New Roman" w:cs="Times New Roman"/>
          <w:b/>
          <w:noProof/>
          <w:sz w:val="24"/>
          <w:szCs w:val="24"/>
          <w:lang w:val="uk-UA"/>
        </w:rPr>
        <w:t>не включається вартість послуг з розподілу природного газу</w:t>
      </w:r>
      <w:r w:rsidRPr="005C5B1C">
        <w:rPr>
          <w:rFonts w:ascii="Times New Roman" w:eastAsia="Times New Roman" w:hAnsi="Times New Roman" w:cs="Times New Roman"/>
          <w:noProof/>
          <w:sz w:val="24"/>
          <w:szCs w:val="24"/>
          <w:lang w:val="uk-UA"/>
        </w:rPr>
        <w:t>, що є предметом регулювання окремого договору між Замовником та Оператором газорозподільної системи.</w:t>
      </w:r>
    </w:p>
    <w:p w:rsidR="006F42B6" w:rsidRPr="005C5B1C" w:rsidRDefault="0020170C">
      <w:pPr>
        <w:tabs>
          <w:tab w:val="left" w:pos="284"/>
          <w:tab w:val="left" w:pos="993"/>
          <w:tab w:val="left" w:pos="1560"/>
        </w:tabs>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noProof/>
          <w:sz w:val="24"/>
          <w:szCs w:val="24"/>
          <w:lang w:val="uk-UA"/>
        </w:rPr>
        <w:tab/>
      </w:r>
    </w:p>
    <w:p w:rsidR="006F42B6" w:rsidRPr="005C5B1C" w:rsidRDefault="0020170C">
      <w:pPr>
        <w:numPr>
          <w:ilvl w:val="0"/>
          <w:numId w:val="1"/>
        </w:numPr>
        <w:tabs>
          <w:tab w:val="left" w:pos="284"/>
          <w:tab w:val="left" w:pos="993"/>
          <w:tab w:val="left" w:pos="1560"/>
        </w:tabs>
        <w:jc w:val="both"/>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noProof/>
          <w:sz w:val="24"/>
          <w:szCs w:val="24"/>
          <w:lang w:val="uk-UA"/>
        </w:rPr>
        <w:t>Постачання природного газу, його технічні та якісні характеристики повинні відповідати  нормам чинного законодавства України:</w:t>
      </w:r>
    </w:p>
    <w:p w:rsidR="006F42B6" w:rsidRPr="005C5B1C" w:rsidRDefault="0020170C">
      <w:pPr>
        <w:numPr>
          <w:ilvl w:val="0"/>
          <w:numId w:val="2"/>
        </w:numPr>
        <w:tabs>
          <w:tab w:val="left" w:pos="284"/>
          <w:tab w:val="left" w:pos="993"/>
          <w:tab w:val="left" w:pos="1560"/>
        </w:tabs>
        <w:jc w:val="both"/>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noProof/>
          <w:sz w:val="24"/>
          <w:szCs w:val="24"/>
          <w:lang w:val="uk-UA"/>
        </w:rPr>
        <w:t>Закону України «Про ринок природного газу» № 329-VIII від 09.04.2015;</w:t>
      </w:r>
    </w:p>
    <w:p w:rsidR="006F42B6" w:rsidRPr="005C5B1C" w:rsidRDefault="0020170C">
      <w:pPr>
        <w:numPr>
          <w:ilvl w:val="0"/>
          <w:numId w:val="2"/>
        </w:numPr>
        <w:tabs>
          <w:tab w:val="left" w:pos="284"/>
          <w:tab w:val="left" w:pos="993"/>
          <w:tab w:val="left" w:pos="1560"/>
        </w:tabs>
        <w:jc w:val="both"/>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noProof/>
          <w:sz w:val="24"/>
          <w:szCs w:val="24"/>
          <w:lang w:val="uk-UA"/>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rsidR="006F42B6" w:rsidRPr="005C5B1C" w:rsidRDefault="0020170C">
      <w:pPr>
        <w:numPr>
          <w:ilvl w:val="0"/>
          <w:numId w:val="2"/>
        </w:numPr>
        <w:tabs>
          <w:tab w:val="left" w:pos="284"/>
          <w:tab w:val="left" w:pos="993"/>
          <w:tab w:val="left" w:pos="1560"/>
        </w:tabs>
        <w:jc w:val="both"/>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noProof/>
          <w:sz w:val="24"/>
          <w:szCs w:val="24"/>
          <w:lang w:val="uk-UA"/>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rsidR="006F42B6" w:rsidRPr="005C5B1C" w:rsidRDefault="0020170C">
      <w:pPr>
        <w:numPr>
          <w:ilvl w:val="0"/>
          <w:numId w:val="2"/>
        </w:numPr>
        <w:tabs>
          <w:tab w:val="left" w:pos="284"/>
          <w:tab w:val="left" w:pos="993"/>
          <w:tab w:val="left" w:pos="1560"/>
        </w:tabs>
        <w:jc w:val="both"/>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noProof/>
          <w:sz w:val="24"/>
          <w:szCs w:val="24"/>
          <w:lang w:val="uk-UA"/>
        </w:rPr>
        <w:t>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w:t>
      </w:r>
    </w:p>
    <w:p w:rsidR="006F42B6" w:rsidRPr="005C5B1C" w:rsidRDefault="0020170C">
      <w:pPr>
        <w:numPr>
          <w:ilvl w:val="0"/>
          <w:numId w:val="2"/>
        </w:numPr>
        <w:tabs>
          <w:tab w:val="left" w:pos="284"/>
          <w:tab w:val="left" w:pos="993"/>
          <w:tab w:val="left" w:pos="1560"/>
        </w:tabs>
        <w:jc w:val="both"/>
        <w:rPr>
          <w:rFonts w:ascii="Times New Roman" w:eastAsia="Times New Roman" w:hAnsi="Times New Roman" w:cs="Times New Roman"/>
          <w:noProof/>
          <w:sz w:val="24"/>
          <w:szCs w:val="24"/>
          <w:lang w:val="uk-UA"/>
        </w:rPr>
      </w:pPr>
      <w:r w:rsidRPr="005C5B1C">
        <w:rPr>
          <w:rFonts w:ascii="Times New Roman" w:eastAsia="Times New Roman" w:hAnsi="Times New Roman" w:cs="Times New Roman"/>
          <w:noProof/>
          <w:sz w:val="24"/>
          <w:szCs w:val="24"/>
          <w:lang w:val="uk-UA"/>
        </w:rPr>
        <w:t>Іншим нормативно-правовим актам, прийнятим на виконання Закону України «Про ринок природного газу».</w:t>
      </w:r>
    </w:p>
    <w:sectPr w:rsidR="006F42B6" w:rsidRPr="005C5B1C">
      <w:pgSz w:w="11906" w:h="16838"/>
      <w:pgMar w:top="850" w:right="850" w:bottom="850" w:left="1417"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814"/>
    <w:multiLevelType w:val="hybridMultilevel"/>
    <w:tmpl w:val="14A8E4AC"/>
    <w:lvl w:ilvl="0" w:tplc="BCD4A6A8">
      <w:start w:val="2"/>
      <w:numFmt w:val="decimal"/>
      <w:lvlText w:val="%1."/>
      <w:lvlJc w:val="left"/>
      <w:pPr>
        <w:ind w:left="644" w:hanging="360"/>
      </w:pPr>
      <w:rPr>
        <w:rFonts w:hint="default"/>
        <w:b/>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C44F4F"/>
    <w:multiLevelType w:val="multilevel"/>
    <w:tmpl w:val="B3DCA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905285E"/>
    <w:multiLevelType w:val="multilevel"/>
    <w:tmpl w:val="9B1C1780"/>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4FF40789"/>
    <w:multiLevelType w:val="multilevel"/>
    <w:tmpl w:val="9808DA54"/>
    <w:lvl w:ilvl="0">
      <w:start w:val="1"/>
      <w:numFmt w:val="decimal"/>
      <w:lvlText w:val="%1."/>
      <w:lvlJc w:val="left"/>
      <w:pPr>
        <w:ind w:left="720" w:hanging="360"/>
      </w:pPr>
      <w:rPr>
        <w:rFonts w:ascii="Times New Roman" w:hAnsi="Times New Roman"/>
        <w:b/>
        <w:position w:val="0"/>
        <w:sz w:val="24"/>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4">
    <w:nsid w:val="6CCF15D8"/>
    <w:multiLevelType w:val="hybridMultilevel"/>
    <w:tmpl w:val="74DC78BE"/>
    <w:lvl w:ilvl="0" w:tplc="7C2624CA">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B6"/>
    <w:rsid w:val="000A5CF2"/>
    <w:rsid w:val="000B2BBA"/>
    <w:rsid w:val="0020170C"/>
    <w:rsid w:val="005C5B1C"/>
    <w:rsid w:val="006232BD"/>
    <w:rsid w:val="006F42B6"/>
    <w:rsid w:val="00737AEA"/>
    <w:rsid w:val="00840CEF"/>
    <w:rsid w:val="00A42186"/>
    <w:rsid w:val="00B400E9"/>
    <w:rsid w:val="00C77A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E8BB2-5844-47D3-AA0D-DCD08E20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textAlignment w:val="top"/>
      <w:outlineLvl w:val="0"/>
    </w:pPr>
    <w:rPr>
      <w:color w:val="00000A"/>
      <w:sz w:val="22"/>
      <w:szCs w:val="22"/>
      <w:lang w:val="ru-RU" w:eastAsia="en-US" w:bidi="ar-SA"/>
    </w:rPr>
  </w:style>
  <w:style w:type="paragraph" w:styleId="1">
    <w:name w:val="heading 1"/>
    <w:qFormat/>
    <w:pPr>
      <w:keepNext/>
      <w:widowControl w:val="0"/>
      <w:suppressAutoHyphens/>
      <w:ind w:right="-567"/>
      <w:jc w:val="both"/>
      <w:textAlignment w:val="top"/>
      <w:outlineLvl w:val="0"/>
    </w:pPr>
    <w:rPr>
      <w:rFonts w:ascii="Times New Roman" w:eastAsia="Times New Roman" w:hAnsi="Times New Roman"/>
      <w:b/>
      <w:i/>
      <w:sz w:val="28"/>
      <w:lang w:eastAsia="ru-RU" w:bidi="ar-SA"/>
    </w:rPr>
  </w:style>
  <w:style w:type="paragraph" w:styleId="2">
    <w:name w:val="heading 2"/>
    <w:next w:val="a"/>
    <w:qFormat/>
    <w:pPr>
      <w:keepNext/>
      <w:keepLines/>
      <w:widowControl w:val="0"/>
      <w:spacing w:before="360" w:after="80"/>
      <w:outlineLvl w:val="1"/>
    </w:pPr>
    <w:rPr>
      <w:b/>
      <w:sz w:val="36"/>
      <w:szCs w:val="36"/>
    </w:rPr>
  </w:style>
  <w:style w:type="paragraph" w:styleId="3">
    <w:name w:val="heading 3"/>
    <w:next w:val="a"/>
    <w:qFormat/>
    <w:pPr>
      <w:keepNext/>
      <w:keepLines/>
      <w:widowControl w:val="0"/>
      <w:spacing w:before="280" w:after="80"/>
      <w:outlineLvl w:val="2"/>
    </w:pPr>
    <w:rPr>
      <w:b/>
      <w:sz w:val="28"/>
      <w:szCs w:val="28"/>
    </w:rPr>
  </w:style>
  <w:style w:type="paragraph" w:styleId="4">
    <w:name w:val="heading 4"/>
    <w:next w:val="a"/>
    <w:qFormat/>
    <w:pPr>
      <w:keepNext/>
      <w:keepLines/>
      <w:widowControl w:val="0"/>
      <w:spacing w:before="240" w:after="40"/>
      <w:outlineLvl w:val="3"/>
    </w:pPr>
    <w:rPr>
      <w:b/>
      <w:sz w:val="24"/>
      <w:szCs w:val="24"/>
    </w:rPr>
  </w:style>
  <w:style w:type="paragraph" w:styleId="5">
    <w:name w:val="heading 5"/>
    <w:next w:val="a"/>
    <w:qFormat/>
    <w:pPr>
      <w:keepNext/>
      <w:keepLines/>
      <w:widowControl w:val="0"/>
      <w:spacing w:before="220" w:after="40"/>
      <w:outlineLvl w:val="4"/>
    </w:pPr>
    <w:rPr>
      <w:b/>
      <w:sz w:val="22"/>
      <w:szCs w:val="22"/>
    </w:rPr>
  </w:style>
  <w:style w:type="paragraph" w:styleId="6">
    <w:name w:val="heading 6"/>
    <w:next w:val="a"/>
    <w:qFormat/>
    <w:pPr>
      <w:keepNext/>
      <w:keepLines/>
      <w:widowControl w:val="0"/>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qFormat/>
    <w:rPr>
      <w:rFonts w:ascii="Times New Roman" w:eastAsia="Times New Roman" w:hAnsi="Times New Roman" w:cs="Times New Roman"/>
      <w:w w:val="100"/>
      <w:position w:val="0"/>
      <w:sz w:val="24"/>
      <w:szCs w:val="24"/>
      <w:effect w:val="none"/>
      <w:vertAlign w:val="baseline"/>
      <w:em w:val="none"/>
      <w:lang w:val="uk-UA" w:eastAsia="uk-UA"/>
    </w:rPr>
  </w:style>
  <w:style w:type="character" w:customStyle="1" w:styleId="a4">
    <w:name w:val="Название Знак"/>
    <w:qFormat/>
    <w:rPr>
      <w:rFonts w:ascii="Cambria" w:hAnsi="Cambria" w:cs="Times New Roman"/>
      <w:b/>
      <w:bCs/>
      <w:w w:val="100"/>
      <w:kern w:val="2"/>
      <w:position w:val="0"/>
      <w:sz w:val="32"/>
      <w:szCs w:val="32"/>
      <w:effect w:val="none"/>
      <w:vertAlign w:val="baseline"/>
      <w:em w:val="none"/>
    </w:rPr>
  </w:style>
  <w:style w:type="character" w:customStyle="1" w:styleId="a5">
    <w:name w:val="Заголовок Знак"/>
    <w:qFormat/>
    <w:rPr>
      <w:rFonts w:ascii="Calibri Light" w:eastAsia="Times New Roman" w:hAnsi="Calibri Light" w:cs="Times New Roman"/>
      <w:spacing w:val="-10"/>
      <w:w w:val="100"/>
      <w:kern w:val="2"/>
      <w:position w:val="0"/>
      <w:sz w:val="56"/>
      <w:szCs w:val="56"/>
      <w:effect w:val="none"/>
      <w:vertAlign w:val="baseline"/>
      <w:em w:val="none"/>
    </w:rPr>
  </w:style>
  <w:style w:type="character" w:customStyle="1" w:styleId="20">
    <w:name w:val="Абзац списка Знак;Список уровня 2 Знак"/>
    <w:qFormat/>
    <w:rPr>
      <w:w w:val="100"/>
      <w:position w:val="0"/>
      <w:sz w:val="22"/>
      <w:szCs w:val="22"/>
      <w:effect w:val="none"/>
      <w:vertAlign w:val="baseline"/>
      <w:em w:val="none"/>
      <w:lang w:val="ru-RU" w:eastAsia="en-US"/>
    </w:rPr>
  </w:style>
  <w:style w:type="character" w:customStyle="1" w:styleId="rvts0">
    <w:name w:val="rvts0"/>
    <w:basedOn w:val="a0"/>
    <w:qFormat/>
    <w:rPr>
      <w:w w:val="100"/>
      <w:position w:val="0"/>
      <w:sz w:val="20"/>
      <w:effect w:val="none"/>
      <w:vertAlign w:val="baseline"/>
      <w:em w:val="none"/>
    </w:rPr>
  </w:style>
  <w:style w:type="character" w:customStyle="1" w:styleId="a6">
    <w:name w:val="Текст выноски Знак"/>
    <w:qFormat/>
    <w:rPr>
      <w:rFonts w:ascii="Segoe UI" w:hAnsi="Segoe UI" w:cs="Segoe UI"/>
      <w:w w:val="100"/>
      <w:position w:val="0"/>
      <w:sz w:val="18"/>
      <w:szCs w:val="18"/>
      <w:effect w:val="none"/>
      <w:vertAlign w:val="baseline"/>
      <w:em w:val="none"/>
      <w:lang w:eastAsia="en-US"/>
    </w:rPr>
  </w:style>
  <w:style w:type="character" w:customStyle="1" w:styleId="10">
    <w:name w:val="Заголовок 1 Знак"/>
    <w:qFormat/>
    <w:rPr>
      <w:rFonts w:ascii="Times New Roman" w:eastAsia="Times New Roman" w:hAnsi="Times New Roman"/>
      <w:b/>
      <w:i/>
      <w:w w:val="100"/>
      <w:position w:val="0"/>
      <w:sz w:val="28"/>
      <w:effect w:val="none"/>
      <w:vertAlign w:val="baseline"/>
      <w:em w:val="none"/>
      <w:lang w:val="uk-UA"/>
    </w:rPr>
  </w:style>
  <w:style w:type="character" w:customStyle="1" w:styleId="ListLabel1">
    <w:name w:val="ListLabel 1"/>
    <w:qFormat/>
    <w:rPr>
      <w:rFonts w:ascii="Times New Roman" w:hAnsi="Times New Roman"/>
      <w:b/>
      <w:position w:val="0"/>
      <w:sz w:val="24"/>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hAnsi="Times New Roman"/>
      <w:sz w:val="24"/>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Times New Roman" w:hAnsi="Times New Roman"/>
      <w:b/>
      <w:position w:val="0"/>
      <w:sz w:val="24"/>
      <w:vertAlign w:val="baseline"/>
    </w:rPr>
  </w:style>
  <w:style w:type="character" w:customStyle="1" w:styleId="ListLabel20">
    <w:name w:val="ListLabel 20"/>
    <w:qFormat/>
    <w:rPr>
      <w:position w:val="0"/>
      <w:sz w:val="20"/>
      <w:vertAlign w:val="baseline"/>
    </w:rPr>
  </w:style>
  <w:style w:type="character" w:customStyle="1" w:styleId="ListLabel21">
    <w:name w:val="ListLabel 21"/>
    <w:qFormat/>
    <w:rPr>
      <w:position w:val="0"/>
      <w:sz w:val="20"/>
      <w:vertAlign w:val="baseline"/>
    </w:rPr>
  </w:style>
  <w:style w:type="character" w:customStyle="1" w:styleId="ListLabel22">
    <w:name w:val="ListLabel 22"/>
    <w:qFormat/>
    <w:rPr>
      <w:position w:val="0"/>
      <w:sz w:val="20"/>
      <w:vertAlign w:val="baseline"/>
    </w:rPr>
  </w:style>
  <w:style w:type="character" w:customStyle="1" w:styleId="ListLabel23">
    <w:name w:val="ListLabel 23"/>
    <w:qFormat/>
    <w:rPr>
      <w:position w:val="0"/>
      <w:sz w:val="20"/>
      <w:vertAlign w:val="baseline"/>
    </w:rPr>
  </w:style>
  <w:style w:type="character" w:customStyle="1" w:styleId="ListLabel24">
    <w:name w:val="ListLabel 24"/>
    <w:qFormat/>
    <w:rPr>
      <w:position w:val="0"/>
      <w:sz w:val="20"/>
      <w:vertAlign w:val="baseline"/>
    </w:rPr>
  </w:style>
  <w:style w:type="character" w:customStyle="1" w:styleId="ListLabel25">
    <w:name w:val="ListLabel 25"/>
    <w:qFormat/>
    <w:rPr>
      <w:position w:val="0"/>
      <w:sz w:val="20"/>
      <w:vertAlign w:val="baseline"/>
    </w:rPr>
  </w:style>
  <w:style w:type="character" w:customStyle="1" w:styleId="ListLabel26">
    <w:name w:val="ListLabel 26"/>
    <w:qFormat/>
    <w:rPr>
      <w:position w:val="0"/>
      <w:sz w:val="20"/>
      <w:vertAlign w:val="baseline"/>
    </w:rPr>
  </w:style>
  <w:style w:type="character" w:customStyle="1" w:styleId="ListLabel27">
    <w:name w:val="ListLabel 27"/>
    <w:qFormat/>
    <w:rPr>
      <w:position w:val="0"/>
      <w:sz w:val="20"/>
      <w:vertAlign w:val="baseline"/>
    </w:rPr>
  </w:style>
  <w:style w:type="character" w:customStyle="1" w:styleId="ListLabel28">
    <w:name w:val="ListLabel 28"/>
    <w:qFormat/>
    <w:rPr>
      <w:rFonts w:ascii="Times New Roman" w:hAnsi="Times New Roman" w:cs="Wingdings"/>
      <w:sz w:val="24"/>
      <w:u w:val="none"/>
    </w:rPr>
  </w:style>
  <w:style w:type="character" w:customStyle="1" w:styleId="ListLabel29">
    <w:name w:val="ListLabel 29"/>
    <w:qFormat/>
    <w:rPr>
      <w:rFonts w:cs="Wingdings 2"/>
      <w:u w:val="none"/>
    </w:rPr>
  </w:style>
  <w:style w:type="character" w:customStyle="1" w:styleId="ListLabel30">
    <w:name w:val="ListLabel 30"/>
    <w:qFormat/>
    <w:rPr>
      <w:rFonts w:cs="OpenSymbol"/>
      <w:u w:val="none"/>
    </w:rPr>
  </w:style>
  <w:style w:type="character" w:customStyle="1" w:styleId="ListLabel31">
    <w:name w:val="ListLabel 31"/>
    <w:qFormat/>
    <w:rPr>
      <w:rFonts w:cs="Wingdings"/>
      <w:u w:val="none"/>
    </w:rPr>
  </w:style>
  <w:style w:type="character" w:customStyle="1" w:styleId="ListLabel32">
    <w:name w:val="ListLabel 32"/>
    <w:qFormat/>
    <w:rPr>
      <w:rFonts w:cs="Wingdings 2"/>
      <w:u w:val="none"/>
    </w:rPr>
  </w:style>
  <w:style w:type="character" w:customStyle="1" w:styleId="ListLabel33">
    <w:name w:val="ListLabel 33"/>
    <w:qFormat/>
    <w:rPr>
      <w:rFonts w:cs="OpenSymbol"/>
      <w:u w:val="none"/>
    </w:rPr>
  </w:style>
  <w:style w:type="character" w:customStyle="1" w:styleId="ListLabel34">
    <w:name w:val="ListLabel 34"/>
    <w:qFormat/>
    <w:rPr>
      <w:rFonts w:cs="Wingdings"/>
      <w:u w:val="none"/>
    </w:rPr>
  </w:style>
  <w:style w:type="character" w:customStyle="1" w:styleId="ListLabel35">
    <w:name w:val="ListLabel 35"/>
    <w:qFormat/>
    <w:rPr>
      <w:rFonts w:cs="Wingdings 2"/>
      <w:u w:val="none"/>
    </w:rPr>
  </w:style>
  <w:style w:type="character" w:customStyle="1" w:styleId="ListLabel36">
    <w:name w:val="ListLabel 36"/>
    <w:qFormat/>
    <w:rPr>
      <w:rFonts w:cs="OpenSymbol"/>
      <w:u w:val="none"/>
    </w:rPr>
  </w:style>
  <w:style w:type="paragraph" w:customStyle="1" w:styleId="a7">
    <w:name w:val="Заголовок"/>
    <w:next w:val="a8"/>
    <w:qFormat/>
    <w:pPr>
      <w:widowControl w:val="0"/>
      <w:suppressAutoHyphens/>
      <w:contextualSpacing/>
      <w:textAlignment w:val="top"/>
      <w:outlineLvl w:val="0"/>
    </w:pPr>
    <w:rPr>
      <w:rFonts w:ascii="Calibri Light" w:eastAsia="Times New Roman" w:hAnsi="Calibri Light" w:cs="Times New Roman"/>
      <w:spacing w:val="-10"/>
      <w:kern w:val="2"/>
      <w:sz w:val="56"/>
      <w:szCs w:val="56"/>
      <w:lang w:val="ru-RU" w:eastAsia="en-US" w:bidi="ar-SA"/>
    </w:rPr>
  </w:style>
  <w:style w:type="paragraph" w:styleId="a8">
    <w:name w:val="Body Text"/>
    <w:qFormat/>
    <w:pPr>
      <w:widowControl w:val="0"/>
      <w:suppressAutoHyphens/>
      <w:spacing w:after="120"/>
      <w:jc w:val="both"/>
      <w:textAlignment w:val="top"/>
      <w:outlineLvl w:val="0"/>
    </w:pPr>
    <w:rPr>
      <w:rFonts w:ascii="Times New Roman" w:eastAsia="Times New Roman" w:hAnsi="Times New Roman" w:cs="Times New Roman"/>
      <w:sz w:val="24"/>
      <w:szCs w:val="24"/>
      <w:lang w:eastAsia="uk-UA" w:bidi="ar-SA"/>
    </w:r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LO-normal">
    <w:name w:val="LO-normal"/>
    <w:qFormat/>
    <w:rPr>
      <w:color w:val="00000A"/>
    </w:rPr>
  </w:style>
  <w:style w:type="paragraph" w:styleId="ac">
    <w:name w:val="Title"/>
    <w:basedOn w:val="LO-normal"/>
    <w:next w:val="a"/>
    <w:qFormat/>
    <w:pPr>
      <w:keepNext/>
      <w:keepLines/>
      <w:spacing w:before="480" w:after="120"/>
    </w:pPr>
    <w:rPr>
      <w:b/>
      <w:sz w:val="72"/>
      <w:szCs w:val="72"/>
    </w:rPr>
  </w:style>
  <w:style w:type="paragraph" w:customStyle="1" w:styleId="11">
    <w:name w:val="Без интервала1"/>
    <w:qFormat/>
    <w:pPr>
      <w:suppressAutoHyphens/>
      <w:spacing w:line="1" w:lineRule="atLeast"/>
      <w:textAlignment w:val="top"/>
      <w:outlineLvl w:val="0"/>
    </w:pPr>
    <w:rPr>
      <w:rFonts w:ascii="Times New Roman" w:eastAsia="Times New Roman" w:hAnsi="Times New Roman"/>
      <w:color w:val="00000A"/>
      <w:sz w:val="24"/>
      <w:szCs w:val="24"/>
      <w:lang w:val="ru-RU" w:eastAsia="ru-RU" w:bidi="ar-SA"/>
    </w:rPr>
  </w:style>
  <w:style w:type="paragraph" w:styleId="ad">
    <w:name w:val="No Spacing"/>
    <w:qFormat/>
    <w:pPr>
      <w:suppressAutoHyphens/>
      <w:spacing w:line="1" w:lineRule="atLeast"/>
      <w:textAlignment w:val="top"/>
      <w:outlineLvl w:val="0"/>
    </w:pPr>
    <w:rPr>
      <w:color w:val="00000A"/>
      <w:sz w:val="22"/>
      <w:szCs w:val="22"/>
      <w:lang w:eastAsia="uk-UA" w:bidi="ar-SA"/>
    </w:rPr>
  </w:style>
  <w:style w:type="paragraph" w:customStyle="1" w:styleId="21">
    <w:name w:val="Абзац списка;Список уровня 2"/>
    <w:basedOn w:val="a"/>
    <w:qFormat/>
    <w:pPr>
      <w:ind w:left="720"/>
      <w:contextualSpacing/>
    </w:pPr>
  </w:style>
  <w:style w:type="paragraph" w:styleId="ae">
    <w:name w:val="Balloon Text"/>
    <w:basedOn w:val="a"/>
    <w:qFormat/>
    <w:pPr>
      <w:spacing w:after="0" w:line="240" w:lineRule="auto"/>
    </w:pPr>
    <w:rPr>
      <w:rFonts w:ascii="Segoe UI" w:hAnsi="Segoe UI" w:cs="Segoe UI"/>
      <w:sz w:val="18"/>
      <w:szCs w:val="18"/>
    </w:rPr>
  </w:style>
  <w:style w:type="paragraph" w:customStyle="1" w:styleId="12">
    <w:name w:val="Обычный1"/>
    <w:qFormat/>
    <w:pPr>
      <w:suppressAutoHyphens/>
      <w:spacing w:line="276" w:lineRule="auto"/>
      <w:textAlignment w:val="top"/>
      <w:outlineLvl w:val="0"/>
    </w:pPr>
    <w:rPr>
      <w:rFonts w:ascii="Arial" w:eastAsia="Times New Roman" w:hAnsi="Arial" w:cs="Arial"/>
      <w:color w:val="000000"/>
      <w:sz w:val="22"/>
      <w:szCs w:val="22"/>
      <w:lang w:val="ru-RU" w:eastAsia="ru-RU" w:bidi="ar-SA"/>
    </w:rPr>
  </w:style>
  <w:style w:type="paragraph" w:styleId="af">
    <w:name w:val="Subtitle"/>
    <w:basedOn w:val="LO-normal"/>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A42186"/>
    <w:pPr>
      <w:suppressAutoHyphens w:val="0"/>
      <w:spacing w:after="0" w:line="240" w:lineRule="auto"/>
      <w:ind w:left="720"/>
      <w:contextualSpacing/>
      <w:textAlignment w:val="auto"/>
      <w:outlineLvl w:val="9"/>
    </w:pPr>
    <w:rPr>
      <w:rFonts w:ascii="Times New Roman" w:eastAsia="Times New Roman" w:hAnsi="Times New Roman" w:cs="Times New Roman"/>
      <w:color w:val="auto"/>
      <w:sz w:val="24"/>
      <w:szCs w:val="24"/>
      <w:lang w:eastAsia="ru-RU"/>
    </w:rPr>
  </w:style>
  <w:style w:type="character" w:customStyle="1" w:styleId="h-select-all">
    <w:name w:val="h-select-all"/>
    <w:basedOn w:val="a0"/>
    <w:rsid w:val="00A42186"/>
  </w:style>
  <w:style w:type="character" w:styleId="af2">
    <w:name w:val="Hyperlink"/>
    <w:basedOn w:val="a0"/>
    <w:uiPriority w:val="99"/>
    <w:semiHidden/>
    <w:unhideWhenUsed/>
    <w:rsid w:val="00A42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1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8xBb9ROAu2XoRxlhLKOpqfmsmTA==">AMUW2mXH2fDUCSHzhJb3OLBz41DpsYfFQAcH4HpUsgi8EjeI77PLMpeZ9NyovXQFYaWiiN6W0l49wL5Tg0eU2I66qbE94ijXPwy6ca7xnvgBWQV2HXuy/10=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2A2399-0E40-4F0C-A9B1-B4D6C0F0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3141</Words>
  <Characters>1791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dc:description/>
  <cp:lastModifiedBy>User</cp:lastModifiedBy>
  <cp:revision>2</cp:revision>
  <dcterms:created xsi:type="dcterms:W3CDTF">2024-09-18T08:26:00Z</dcterms:created>
  <dcterms:modified xsi:type="dcterms:W3CDTF">2024-09-18T08:26:00Z</dcterms:modified>
  <dc:language>uk-UA</dc:language>
</cp:coreProperties>
</file>