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bookmarkStart w:id="0" w:name="_GoBack"/>
      <w:bookmarkEnd w:id="0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D6662" w:rsidRDefault="00CA1CDA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торги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2249" w:rsidRPr="00CA2249" w:rsidRDefault="00CA2249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D6662" w:rsidRDefault="00CA2249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 w:cstheme="minorBidi"/>
          <w:b/>
          <w:sz w:val="28"/>
          <w:szCs w:val="28"/>
          <w:lang w:val="en-US" w:eastAsia="en-US"/>
        </w:rPr>
      </w:pPr>
      <w:r w:rsidRPr="00CA2249">
        <w:rPr>
          <w:rFonts w:eastAsiaTheme="minorHAnsi" w:cstheme="minorBidi"/>
          <w:b/>
          <w:sz w:val="28"/>
          <w:szCs w:val="28"/>
          <w:lang w:val="uk-UA" w:eastAsia="en-US"/>
        </w:rPr>
        <w:t xml:space="preserve">Послуги з технічного обслуговування та утримання в належному стані приміщень будівель ГУ ДМС у Львівській області за кодом </w:t>
      </w:r>
      <w:proofErr w:type="spellStart"/>
      <w:r w:rsidRPr="00CA2249">
        <w:rPr>
          <w:rFonts w:eastAsiaTheme="minorHAnsi" w:cstheme="minorBidi"/>
          <w:b/>
          <w:sz w:val="28"/>
          <w:szCs w:val="28"/>
          <w:lang w:val="uk-UA" w:eastAsia="en-US"/>
        </w:rPr>
        <w:t>ДК</w:t>
      </w:r>
      <w:proofErr w:type="spellEnd"/>
      <w:r w:rsidRPr="00CA2249">
        <w:rPr>
          <w:rFonts w:eastAsiaTheme="minorHAnsi" w:cstheme="minorBidi"/>
          <w:b/>
          <w:sz w:val="28"/>
          <w:szCs w:val="28"/>
          <w:lang w:val="uk-UA" w:eastAsia="en-US"/>
        </w:rPr>
        <w:t xml:space="preserve"> 021:2015-90910000-9 Послуги з прибирання (90919200-4 Прибирання офісних приміщень)</w:t>
      </w:r>
    </w:p>
    <w:p w:rsidR="00CA2249" w:rsidRPr="00CA2249" w:rsidRDefault="00CA2249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eastAsiaTheme="minorHAnsi" w:hAnsi="ProbaPro" w:cstheme="minorBidi"/>
          <w:b/>
          <w:color w:val="000000"/>
          <w:sz w:val="28"/>
          <w:szCs w:val="28"/>
          <w:bdr w:val="none" w:sz="0" w:space="0" w:color="auto" w:frame="1"/>
          <w:lang w:val="en-US" w:eastAsia="en-US"/>
        </w:rPr>
      </w:pPr>
    </w:p>
    <w:p w:rsidR="00CA1CDA" w:rsidRPr="00F429B0" w:rsidRDefault="00CA1CDA" w:rsidP="00FD66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</w:t>
      </w:r>
      <w:r w:rsidRPr="00F429B0">
        <w:rPr>
          <w:rFonts w:ascii="ProbaPro" w:hAnsi="ProbaPro" w:hint="eastAsia"/>
          <w:color w:val="000000"/>
          <w:sz w:val="28"/>
          <w:szCs w:val="28"/>
          <w:lang w:val="uk-UA"/>
        </w:rPr>
        <w:t>вул.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CA1CDA" w:rsidRPr="00F429B0" w:rsidRDefault="00CA1CDA" w:rsidP="00FD6662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  <w:r w:rsidR="00CA2249" w:rsidRPr="00CA2249">
        <w:rPr>
          <w:szCs w:val="28"/>
          <w:lang w:val="uk-UA"/>
        </w:rPr>
        <w:t xml:space="preserve">Послуги з технічного обслуговування та утримання в належному стані приміщень будівель ГУ ДМС у Львівській області за кодом </w:t>
      </w:r>
      <w:proofErr w:type="spellStart"/>
      <w:r w:rsidR="00CA2249" w:rsidRPr="00CA2249">
        <w:rPr>
          <w:szCs w:val="28"/>
          <w:lang w:val="uk-UA"/>
        </w:rPr>
        <w:t>ДК</w:t>
      </w:r>
      <w:proofErr w:type="spellEnd"/>
      <w:r w:rsidR="00CA2249" w:rsidRPr="00CA2249">
        <w:rPr>
          <w:szCs w:val="28"/>
          <w:lang w:val="uk-UA"/>
        </w:rPr>
        <w:t xml:space="preserve"> 021:2015-90910000-9 Послуги з прибирання (90919200-4 Прибирання офісних приміщень)</w:t>
      </w:r>
      <w:r w:rsidRPr="00F429B0">
        <w:rPr>
          <w:szCs w:val="28"/>
          <w:lang w:val="uk-UA"/>
        </w:rPr>
        <w:t>», в кількості 1 послуга.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>: Відкриті торги з о</w:t>
      </w:r>
      <w:r w:rsidR="00FD6662">
        <w:rPr>
          <w:szCs w:val="28"/>
          <w:lang w:val="uk-UA"/>
        </w:rPr>
        <w:t>собливостями (</w:t>
      </w:r>
      <w:r w:rsidR="00CA2249">
        <w:rPr>
          <w:szCs w:val="28"/>
          <w:lang w:val="uk-UA"/>
        </w:rPr>
        <w:t>UA-2024-01-0</w:t>
      </w:r>
      <w:r w:rsidR="00CA2249" w:rsidRPr="00CA2249">
        <w:rPr>
          <w:szCs w:val="28"/>
        </w:rPr>
        <w:t>3</w:t>
      </w:r>
      <w:r w:rsidR="00CA2249">
        <w:rPr>
          <w:szCs w:val="28"/>
          <w:lang w:val="uk-UA"/>
        </w:rPr>
        <w:t>-00</w:t>
      </w:r>
      <w:r w:rsidR="00CA2249" w:rsidRPr="00CA2249">
        <w:rPr>
          <w:szCs w:val="28"/>
        </w:rPr>
        <w:t>0066</w:t>
      </w:r>
      <w:r w:rsidRPr="00F429B0">
        <w:rPr>
          <w:szCs w:val="28"/>
          <w:lang w:val="uk-UA"/>
        </w:rPr>
        <w:t>-a 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коштів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державного бюджету на 2024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D6662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D6662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D6662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="00CA2249">
        <w:rPr>
          <w:rFonts w:ascii="ProbaPro" w:hAnsi="ProbaPro"/>
          <w:color w:val="000000"/>
          <w:sz w:val="28"/>
          <w:szCs w:val="28"/>
          <w:lang w:val="en-US"/>
        </w:rPr>
        <w:t>1</w:t>
      </w:r>
      <w:r w:rsidR="00CA2249">
        <w:rPr>
          <w:rFonts w:ascii="ProbaPro" w:hAnsi="ProbaPro" w:hint="eastAsia"/>
          <w:color w:val="000000"/>
          <w:sz w:val="28"/>
          <w:szCs w:val="28"/>
          <w:lang w:val="en-US"/>
        </w:rPr>
        <w:t> </w:t>
      </w:r>
      <w:r w:rsidR="00CA2249">
        <w:rPr>
          <w:rFonts w:ascii="ProbaPro" w:hAnsi="ProbaPro"/>
          <w:color w:val="000000"/>
          <w:sz w:val="28"/>
          <w:szCs w:val="28"/>
          <w:lang w:val="en-US"/>
        </w:rPr>
        <w:t>824 000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FD6662" w:rsidRPr="00FD6662" w:rsidRDefault="00CA1CDA" w:rsidP="00FD66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надають відповідні послуги, а також шляхом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моніторингу цін, пошуку, збору та аналізу загальнодоступної інформації про ціни, що містяться в мережі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>інтернет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у відкритому доступі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, в тому числі з врахуванням попередніх закупівель, в електронній системі закупівель «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».  </w:t>
      </w:r>
    </w:p>
    <w:p w:rsidR="002005E6" w:rsidRPr="00FD6662" w:rsidRDefault="00FD6662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</w:p>
    <w:p w:rsidR="00FD6662" w:rsidRDefault="00CA2249" w:rsidP="00CA2249">
      <w:pPr>
        <w:pStyle w:val="a3"/>
        <w:rPr>
          <w:color w:val="000000"/>
          <w:sz w:val="27"/>
          <w:szCs w:val="27"/>
        </w:rPr>
      </w:pPr>
      <w:r w:rsidRPr="00CA2249">
        <w:rPr>
          <w:rStyle w:val="31"/>
          <w:rFonts w:eastAsiaTheme="minorHAnsi" w:cstheme="minorBidi"/>
        </w:rPr>
        <w:t xml:space="preserve">Термін надання послуг: </w:t>
      </w:r>
      <w:r w:rsidRPr="00CA2249">
        <w:rPr>
          <w:rStyle w:val="31"/>
          <w:rFonts w:eastAsiaTheme="minorHAnsi" w:cstheme="minorBidi"/>
          <w:b w:val="0"/>
        </w:rPr>
        <w:t>з моменту підписання Договору по 31.12.2024 р.</w:t>
      </w:r>
    </w:p>
    <w:p w:rsidR="00CA2249" w:rsidRDefault="00CA2249" w:rsidP="00CA2249">
      <w:pPr>
        <w:pStyle w:val="ab"/>
        <w:jc w:val="both"/>
      </w:pPr>
      <w:r>
        <w:t xml:space="preserve">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:</w:t>
      </w:r>
    </w:p>
    <w:p w:rsidR="00CA2249" w:rsidRDefault="00CA2249" w:rsidP="00CA2249">
      <w:pPr>
        <w:pStyle w:val="ab"/>
        <w:jc w:val="both"/>
      </w:pPr>
      <w:r>
        <w:t xml:space="preserve">1.Все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інструмент</w:t>
      </w:r>
      <w:proofErr w:type="spellEnd"/>
      <w:r>
        <w:t xml:space="preserve"> та </w:t>
      </w:r>
      <w:proofErr w:type="spellStart"/>
      <w:r>
        <w:t>інвентар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>.</w:t>
      </w:r>
    </w:p>
    <w:p w:rsidR="00CA2249" w:rsidRDefault="00CA2249" w:rsidP="00CA2249">
      <w:pPr>
        <w:pStyle w:val="ab"/>
        <w:jc w:val="both"/>
      </w:pPr>
      <w:r>
        <w:t>2.</w:t>
      </w:r>
      <w:proofErr w:type="gramStart"/>
      <w:r>
        <w:t>Вс</w:t>
      </w:r>
      <w:proofErr w:type="gramEnd"/>
      <w:r>
        <w:t xml:space="preserve">і </w:t>
      </w:r>
      <w:proofErr w:type="spellStart"/>
      <w:r>
        <w:t>миючі</w:t>
      </w:r>
      <w:proofErr w:type="spellEnd"/>
      <w:r>
        <w:t xml:space="preserve">, </w:t>
      </w:r>
      <w:proofErr w:type="spellStart"/>
      <w:r>
        <w:t>дезінфікуючі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та </w:t>
      </w:r>
      <w:proofErr w:type="spellStart"/>
      <w:r>
        <w:t>пакети</w:t>
      </w:r>
      <w:proofErr w:type="spellEnd"/>
      <w:r>
        <w:t xml:space="preserve"> для </w:t>
      </w:r>
      <w:proofErr w:type="spellStart"/>
      <w:r>
        <w:t>сміття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>.</w:t>
      </w:r>
    </w:p>
    <w:p w:rsidR="00CA2249" w:rsidRDefault="00CA2249" w:rsidP="00CA2249">
      <w:pPr>
        <w:pStyle w:val="ab"/>
        <w:jc w:val="both"/>
      </w:pPr>
      <w:r>
        <w:t xml:space="preserve">3.Дотримуватися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оплату </w:t>
      </w:r>
      <w:proofErr w:type="spellStart"/>
      <w:r>
        <w:t>праці</w:t>
      </w:r>
      <w:proofErr w:type="spellEnd"/>
      <w:r>
        <w:t>».</w:t>
      </w:r>
    </w:p>
    <w:p w:rsidR="00CA2249" w:rsidRDefault="00CA2249" w:rsidP="00CA2249">
      <w:pPr>
        <w:pStyle w:val="ab"/>
        <w:jc w:val="both"/>
      </w:pPr>
      <w:r>
        <w:t xml:space="preserve">4.Послуги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:</w:t>
      </w:r>
    </w:p>
    <w:p w:rsidR="00CA2249" w:rsidRDefault="00CA2249" w:rsidP="00CA2249">
      <w:pPr>
        <w:pStyle w:val="ab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»;</w:t>
      </w:r>
    </w:p>
    <w:p w:rsidR="00CA2249" w:rsidRDefault="00CA2249" w:rsidP="00CA2249">
      <w:pPr>
        <w:pStyle w:val="ab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</w:t>
      </w:r>
      <w:proofErr w:type="spellStart"/>
      <w:r>
        <w:t>середовища</w:t>
      </w:r>
      <w:proofErr w:type="spellEnd"/>
      <w:r>
        <w:t>»;</w:t>
      </w:r>
    </w:p>
    <w:p w:rsidR="00CA2249" w:rsidRDefault="00CA2249" w:rsidP="00CA2249">
      <w:pPr>
        <w:pStyle w:val="ab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відходи</w:t>
      </w:r>
      <w:proofErr w:type="spellEnd"/>
      <w:r>
        <w:t>»;</w:t>
      </w:r>
    </w:p>
    <w:p w:rsidR="00CA2249" w:rsidRDefault="00CA2249" w:rsidP="00CA2249">
      <w:pPr>
        <w:pStyle w:val="ab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тарного</w:t>
      </w:r>
      <w:proofErr w:type="spellEnd"/>
      <w:proofErr w:type="gramEnd"/>
      <w:r>
        <w:t xml:space="preserve"> та </w:t>
      </w:r>
      <w:proofErr w:type="spellStart"/>
      <w:r>
        <w:t>епідемічного</w:t>
      </w:r>
      <w:proofErr w:type="spellEnd"/>
      <w:r>
        <w:t xml:space="preserve"> </w:t>
      </w:r>
      <w:proofErr w:type="spellStart"/>
      <w:r>
        <w:t>благополуччя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»;</w:t>
      </w:r>
    </w:p>
    <w:p w:rsidR="00CA2249" w:rsidRDefault="00CA2249" w:rsidP="00CA2249">
      <w:pPr>
        <w:pStyle w:val="ab"/>
        <w:jc w:val="both"/>
      </w:pPr>
      <w:r>
        <w:t xml:space="preserve">-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санітарні</w:t>
      </w:r>
      <w:proofErr w:type="spellEnd"/>
      <w:r>
        <w:t xml:space="preserve"> правила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</w:t>
      </w:r>
      <w:proofErr w:type="spellStart"/>
      <w:r>
        <w:t>нормативи</w:t>
      </w:r>
      <w:proofErr w:type="spellEnd"/>
      <w:r>
        <w:t>;</w:t>
      </w:r>
    </w:p>
    <w:p w:rsidR="00CA2249" w:rsidRDefault="00CA2249" w:rsidP="00CA2249">
      <w:pPr>
        <w:pStyle w:val="ab"/>
        <w:jc w:val="both"/>
      </w:pPr>
      <w:r>
        <w:t xml:space="preserve">- </w:t>
      </w:r>
      <w:proofErr w:type="spellStart"/>
      <w:r>
        <w:t>інструктаж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;</w:t>
      </w:r>
    </w:p>
    <w:p w:rsidR="00CA2249" w:rsidRDefault="00CA2249" w:rsidP="00CA2249">
      <w:pPr>
        <w:pStyle w:val="ab"/>
        <w:jc w:val="both"/>
        <w:rPr>
          <w:lang w:val="en-US"/>
        </w:rPr>
      </w:pPr>
      <w:r>
        <w:t xml:space="preserve">- норм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CA2249" w:rsidRPr="00CA2249" w:rsidRDefault="00CA2249" w:rsidP="00CA2249">
      <w:pPr>
        <w:pStyle w:val="ab"/>
        <w:jc w:val="both"/>
        <w:rPr>
          <w:lang w:val="en-US"/>
        </w:rPr>
      </w:pPr>
    </w:p>
    <w:p w:rsidR="00CA2249" w:rsidRDefault="00CA2249" w:rsidP="00CA2249">
      <w:pPr>
        <w:pStyle w:val="ab"/>
        <w:jc w:val="both"/>
      </w:pPr>
      <w:r>
        <w:t xml:space="preserve">В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включені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CA2249" w:rsidRDefault="00CA2249" w:rsidP="00CA2249">
      <w:pPr>
        <w:pStyle w:val="ab"/>
        <w:jc w:val="both"/>
      </w:pPr>
      <w:r>
        <w:t xml:space="preserve">- </w:t>
      </w:r>
      <w:proofErr w:type="spellStart"/>
      <w:r>
        <w:t>Заробітна</w:t>
      </w:r>
      <w:proofErr w:type="spellEnd"/>
      <w:r>
        <w:t xml:space="preserve"> плата </w:t>
      </w:r>
      <w:proofErr w:type="spellStart"/>
      <w:r>
        <w:t>прибиральникі</w:t>
      </w:r>
      <w:proofErr w:type="gramStart"/>
      <w:r>
        <w:t>в</w:t>
      </w:r>
      <w:proofErr w:type="spellEnd"/>
      <w:proofErr w:type="gramEnd"/>
      <w:r>
        <w:t>;</w:t>
      </w:r>
    </w:p>
    <w:p w:rsidR="00CA2249" w:rsidRDefault="00CA2249" w:rsidP="00CA2249">
      <w:pPr>
        <w:pStyle w:val="ab"/>
        <w:jc w:val="both"/>
      </w:pPr>
      <w:r>
        <w:t xml:space="preserve">-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;</w:t>
      </w:r>
    </w:p>
    <w:p w:rsidR="00CA2249" w:rsidRDefault="00CA2249" w:rsidP="00CA2249">
      <w:pPr>
        <w:pStyle w:val="ab"/>
        <w:jc w:val="both"/>
      </w:pPr>
      <w:r>
        <w:t xml:space="preserve">-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відпускних</w:t>
      </w:r>
      <w:proofErr w:type="spellEnd"/>
      <w:r>
        <w:t xml:space="preserve"> та </w:t>
      </w:r>
      <w:proofErr w:type="spellStart"/>
      <w:proofErr w:type="gramStart"/>
      <w:r>
        <w:t>л</w:t>
      </w:r>
      <w:proofErr w:type="gramEnd"/>
      <w:r>
        <w:t>ікарняних</w:t>
      </w:r>
      <w:proofErr w:type="spellEnd"/>
      <w:r>
        <w:t>;</w:t>
      </w:r>
    </w:p>
    <w:p w:rsidR="00CA2249" w:rsidRDefault="00CA2249" w:rsidP="00CA2249">
      <w:pPr>
        <w:pStyle w:val="ab"/>
        <w:jc w:val="both"/>
      </w:pPr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прибиральників</w:t>
      </w:r>
      <w:proofErr w:type="spellEnd"/>
      <w:r>
        <w:t xml:space="preserve"> </w:t>
      </w:r>
      <w:proofErr w:type="spellStart"/>
      <w:r>
        <w:t>спецодягом</w:t>
      </w:r>
      <w:proofErr w:type="spellEnd"/>
      <w:r>
        <w:t>;</w:t>
      </w:r>
    </w:p>
    <w:p w:rsidR="00CA2249" w:rsidRDefault="00CA2249" w:rsidP="00CA2249">
      <w:pPr>
        <w:pStyle w:val="ab"/>
        <w:jc w:val="both"/>
      </w:pPr>
      <w:r>
        <w:t>-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миючих</w:t>
      </w:r>
      <w:proofErr w:type="spellEnd"/>
      <w:r>
        <w:t xml:space="preserve">, </w:t>
      </w:r>
      <w:proofErr w:type="spellStart"/>
      <w:r>
        <w:t>дезінфікуючих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пакеті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сміття</w:t>
      </w:r>
      <w:proofErr w:type="spellEnd"/>
      <w:r>
        <w:t>;</w:t>
      </w:r>
    </w:p>
    <w:p w:rsidR="00CA2249" w:rsidRDefault="00CA2249" w:rsidP="00CA2249">
      <w:pPr>
        <w:pStyle w:val="ab"/>
        <w:jc w:val="both"/>
      </w:pPr>
      <w:r>
        <w:t>-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прибиральників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інвентарем</w:t>
      </w:r>
      <w:proofErr w:type="spellEnd"/>
      <w:r>
        <w:t xml:space="preserve"> та </w:t>
      </w:r>
      <w:proofErr w:type="spellStart"/>
      <w:r>
        <w:t>витратними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іалами</w:t>
      </w:r>
      <w:proofErr w:type="spellEnd"/>
      <w:r>
        <w:t>;</w:t>
      </w:r>
    </w:p>
    <w:p w:rsidR="00CA2249" w:rsidRDefault="00CA2249" w:rsidP="00CA2249">
      <w:pPr>
        <w:pStyle w:val="ab"/>
        <w:jc w:val="both"/>
        <w:rPr>
          <w:lang w:val="en-US"/>
        </w:rPr>
      </w:pPr>
      <w:r>
        <w:t>-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</w:p>
    <w:p w:rsidR="00CA2249" w:rsidRPr="00CA2249" w:rsidRDefault="00CA2249" w:rsidP="00CA2249">
      <w:pPr>
        <w:pStyle w:val="ab"/>
        <w:jc w:val="both"/>
        <w:rPr>
          <w:lang w:val="en-US"/>
        </w:rPr>
      </w:pPr>
    </w:p>
    <w:p w:rsidR="00F429B0" w:rsidRPr="00CA2249" w:rsidRDefault="00CA2249" w:rsidP="00CA2249">
      <w:pPr>
        <w:pStyle w:val="ab"/>
        <w:jc w:val="center"/>
        <w:rPr>
          <w:rFonts w:cs="Times New Roman"/>
          <w:color w:val="000000"/>
          <w:szCs w:val="28"/>
          <w:lang w:val="en-US"/>
        </w:rPr>
      </w:pPr>
      <w:r w:rsidRPr="00CA2249">
        <w:rPr>
          <w:rFonts w:cs="Times New Roman"/>
          <w:color w:val="000000"/>
          <w:szCs w:val="28"/>
        </w:rPr>
        <w:t>ХАРАКТРИСТИКА БУДІВЕЛЬ ТА ДЕТИЛІЗОВАНИЙ ПЕРЕЛІК ПОСЛУГ ТА ПЕРІОДИЧНІСТЬ ЇХ НАДАННЯ</w:t>
      </w:r>
    </w:p>
    <w:p w:rsidR="00CA2249" w:rsidRPr="00CA2249" w:rsidRDefault="00CA2249" w:rsidP="00CA2249">
      <w:pPr>
        <w:pStyle w:val="ab"/>
        <w:jc w:val="center"/>
        <w:rPr>
          <w:rFonts w:cs="Times New Roman"/>
          <w:color w:val="000000"/>
          <w:szCs w:val="28"/>
          <w:lang w:val="en-US"/>
        </w:rPr>
      </w:pPr>
    </w:p>
    <w:tbl>
      <w:tblPr>
        <w:tblStyle w:val="ac"/>
        <w:tblW w:w="0" w:type="auto"/>
        <w:tblInd w:w="-1168" w:type="dxa"/>
        <w:tblLook w:val="04A0"/>
      </w:tblPr>
      <w:tblGrid>
        <w:gridCol w:w="567"/>
        <w:gridCol w:w="4111"/>
        <w:gridCol w:w="3667"/>
        <w:gridCol w:w="2393"/>
      </w:tblGrid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CA2249">
              <w:rPr>
                <w:rFonts w:eastAsia="Times New Roman" w:cs="Times New Roman"/>
                <w:b/>
                <w:szCs w:val="28"/>
              </w:rPr>
              <w:t>№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Назва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та адреса </w:t>
            </w:r>
            <w:proofErr w:type="spellStart"/>
            <w:proofErr w:type="gramStart"/>
            <w:r w:rsidRPr="00CA2249">
              <w:rPr>
                <w:rFonts w:eastAsia="Times New Roman" w:cs="Times New Roman"/>
                <w:b/>
                <w:szCs w:val="28"/>
              </w:rPr>
              <w:t>об</w:t>
            </w:r>
            <w:proofErr w:type="gramEnd"/>
            <w:r w:rsidRPr="00CA2249">
              <w:rPr>
                <w:rFonts w:eastAsia="Times New Roman" w:cs="Times New Roman"/>
                <w:b/>
                <w:szCs w:val="28"/>
              </w:rPr>
              <w:t>’єків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(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місць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)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надання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послуг</w:t>
            </w:r>
            <w:proofErr w:type="spellEnd"/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Загальна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площа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прибирання</w:t>
            </w:r>
            <w:proofErr w:type="spellEnd"/>
          </w:p>
        </w:tc>
        <w:tc>
          <w:tcPr>
            <w:tcW w:w="2393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Графік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прибирання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вул.Січових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Стрільців,11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516,9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Понеділок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вул.Б.Лепкого,16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94,1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Вівторок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Четвер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вул.Руданського,3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388,4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Понеділок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-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вул.Окуневського,1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345,7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Понеділок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-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вул.Скорика,17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298,5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Понеділок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вул.Зелена,20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131,9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Вівторок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–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7.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вул.Зелена,150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152,6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Вівторок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8.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вул.Чупринки,71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168,4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Середа-П’ятниця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9.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вул.Донецька,3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331,5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Вівторок-Субота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10.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.Л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ьвів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вул.Залізнична,16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239,6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tabs>
                <w:tab w:val="left" w:pos="510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Понеділок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-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’ятниця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11.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.С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трий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вул.Львівська,141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192,0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12.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.Ж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овква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вул.Св.Трійці,3Г/34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187,2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13.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рогобич,вул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Стрийська,64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197,0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14.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рогобич,вул.Чорновола,8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114,5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15.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.Я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ворів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Львівська,10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134,7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16.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.С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амбір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Мазепи,18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332,1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17.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.Г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ородок, Львівська,1а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117,8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18.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.З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олочів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вул.Героя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України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Возницького,1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183,3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19.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.Ч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 xml:space="preserve">ервоноград,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Івасюка,12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235,7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20.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.С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тарий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Самбір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вул.Коцюбинського,6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184,4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21.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.С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окаль, вул.Св.Володимира,4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80,8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22.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.М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иколаїв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Чайковського,18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147,7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23.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ерешляни,вул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Галицька,28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184,1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24.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.Б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орислав, вул.В.Великого,28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126,2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25.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.Ж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идачів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вул.Вокзальна,6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108,1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26.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устомити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І.Кандиби,3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152,3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27.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.Т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рускавець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вул.Данилишиних,62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184,6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28.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.Б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роди, вул.Гончарська,15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109,1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29.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.Б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уськ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, вул.Петрушевича,3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118,8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30.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.К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ам’янка-Бузька,вул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Незалежності,27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125,92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31.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.Т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 xml:space="preserve">урка,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Молодіжна,46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116,2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32.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.Р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адехів,вул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Сонячна,2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98,9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33.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.М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остиська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вул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 Грушевського,16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 xml:space="preserve"> В</w:t>
            </w:r>
            <w:proofErr w:type="gramEnd"/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113,8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  <w:tr w:rsidR="00CA2249" w:rsidRPr="00CA2249" w:rsidTr="000517CD">
        <w:tc>
          <w:tcPr>
            <w:tcW w:w="5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34.</w:t>
            </w:r>
          </w:p>
        </w:tc>
        <w:tc>
          <w:tcPr>
            <w:tcW w:w="4111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.С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коле, майдан Незалежності,14</w:t>
            </w:r>
          </w:p>
        </w:tc>
        <w:tc>
          <w:tcPr>
            <w:tcW w:w="3667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153,1 м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CA2249" w:rsidRPr="00CA2249" w:rsidRDefault="00CA2249" w:rsidP="000517CD">
            <w:pPr>
              <w:rPr>
                <w:rFonts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 xml:space="preserve">Середа,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Субота</w:t>
            </w:r>
            <w:proofErr w:type="spellEnd"/>
          </w:p>
        </w:tc>
      </w:tr>
    </w:tbl>
    <w:p w:rsidR="00CA2249" w:rsidRPr="00CA2249" w:rsidRDefault="00CA2249" w:rsidP="00CA2249">
      <w:pPr>
        <w:pStyle w:val="ab"/>
        <w:jc w:val="center"/>
        <w:rPr>
          <w:rFonts w:cs="Times New Roman"/>
          <w:szCs w:val="28"/>
          <w:lang w:val="en-US"/>
        </w:rPr>
      </w:pPr>
    </w:p>
    <w:p w:rsidR="00CA2249" w:rsidRPr="00CA2249" w:rsidRDefault="00CA2249" w:rsidP="00CA2249">
      <w:pPr>
        <w:pStyle w:val="ab"/>
        <w:jc w:val="center"/>
        <w:rPr>
          <w:rFonts w:cs="Times New Roman"/>
          <w:color w:val="000000"/>
          <w:szCs w:val="28"/>
          <w:lang w:val="en-US"/>
        </w:rPr>
      </w:pPr>
      <w:r w:rsidRPr="00CA2249">
        <w:rPr>
          <w:rFonts w:cs="Times New Roman"/>
          <w:color w:val="000000"/>
          <w:szCs w:val="28"/>
        </w:rPr>
        <w:t>ДЕТАЛІЗОВАНИЙ ПЕРЕЛІК ПОСЛУГ</w:t>
      </w:r>
    </w:p>
    <w:p w:rsidR="00CA2249" w:rsidRPr="00CA2249" w:rsidRDefault="00CA2249" w:rsidP="00CA2249">
      <w:pPr>
        <w:pStyle w:val="ab"/>
        <w:jc w:val="center"/>
        <w:rPr>
          <w:rFonts w:cs="Times New Roman"/>
          <w:color w:val="000000"/>
          <w:szCs w:val="28"/>
          <w:lang w:val="en-US"/>
        </w:rPr>
      </w:pPr>
    </w:p>
    <w:tbl>
      <w:tblPr>
        <w:tblStyle w:val="ac"/>
        <w:tblW w:w="0" w:type="auto"/>
        <w:tblInd w:w="-1168" w:type="dxa"/>
        <w:tblLook w:val="04A0"/>
      </w:tblPr>
      <w:tblGrid>
        <w:gridCol w:w="5953"/>
        <w:gridCol w:w="4785"/>
      </w:tblGrid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CA2249">
              <w:rPr>
                <w:rFonts w:eastAsia="Times New Roman" w:cs="Times New Roman"/>
                <w:b/>
                <w:szCs w:val="28"/>
              </w:rPr>
              <w:t xml:space="preserve">Тип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приміщення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Опис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послуг</w:t>
            </w:r>
            <w:proofErr w:type="spellEnd"/>
          </w:p>
        </w:tc>
      </w:tr>
      <w:tr w:rsidR="00CA2249" w:rsidRPr="00CA2249" w:rsidTr="000517CD">
        <w:tc>
          <w:tcPr>
            <w:tcW w:w="10738" w:type="dxa"/>
            <w:gridSpan w:val="2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Адміністративні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кабінети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Стеля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Прибирання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павутини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Лампи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св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ітильники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дотримуючись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техніки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безпеки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Двері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кабінетні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дверні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ручки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ідвіконня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Опалювальні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системи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,т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руби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Дзеркала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Меблі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столи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ст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ільці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крісла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шафи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книжкові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полиці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полірування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Офісна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техніка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Сухе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Винесення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сміття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Опорожнення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урн (корзин,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кошиків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),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заміна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 w:rsidRPr="00CA2249">
              <w:rPr>
                <w:rFonts w:eastAsia="Times New Roman" w:cs="Times New Roman"/>
                <w:szCs w:val="28"/>
              </w:rPr>
              <w:t xml:space="preserve">/е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сміттєвих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пакетів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Лінолеум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прибирання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Паркет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Вікна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10738" w:type="dxa"/>
            <w:gridSpan w:val="2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Санітарні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кімнати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Стеля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Прибирання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павутини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Ст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іни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обкладені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керамікою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Двері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кабінетні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дверні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ручки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Дзеркала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Умивальники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Змішувач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Унітаз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Йоршик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для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унітазу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та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дезінфікація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ідлога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та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дезінфікація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Винесення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сміття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Опорожнення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урн (корзин,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кошиків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),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заміна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 w:rsidRPr="00CA2249">
              <w:rPr>
                <w:rFonts w:eastAsia="Times New Roman" w:cs="Times New Roman"/>
                <w:szCs w:val="28"/>
              </w:rPr>
              <w:t xml:space="preserve">/е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сміттєвих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пакетів</w:t>
            </w:r>
            <w:proofErr w:type="spellEnd"/>
          </w:p>
        </w:tc>
      </w:tr>
      <w:tr w:rsidR="00CA2249" w:rsidRPr="00CA2249" w:rsidTr="000517CD">
        <w:tc>
          <w:tcPr>
            <w:tcW w:w="10738" w:type="dxa"/>
            <w:gridSpan w:val="2"/>
          </w:tcPr>
          <w:p w:rsidR="00CA2249" w:rsidRPr="00CA2249" w:rsidRDefault="00CA2249" w:rsidP="000517CD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Коридори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та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сходові</w:t>
            </w:r>
            <w:proofErr w:type="spellEnd"/>
            <w:r w:rsidRPr="00CA22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b/>
                <w:szCs w:val="28"/>
              </w:rPr>
              <w:t>клітки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Двері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кабінетні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дверні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ручки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CA2249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CA2249">
              <w:rPr>
                <w:rFonts w:eastAsia="Times New Roman" w:cs="Times New Roman"/>
                <w:szCs w:val="28"/>
              </w:rPr>
              <w:t>ідлога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r w:rsidRPr="00CA2249">
              <w:rPr>
                <w:rFonts w:eastAsia="Times New Roman" w:cs="Times New Roman"/>
                <w:szCs w:val="28"/>
              </w:rPr>
              <w:t>Сходи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Поручні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Вологе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протирання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дезінфікуючих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засобів</w:t>
            </w:r>
            <w:proofErr w:type="spellEnd"/>
          </w:p>
        </w:tc>
      </w:tr>
      <w:tr w:rsidR="00CA2249" w:rsidRPr="00CA2249" w:rsidTr="000517CD">
        <w:tc>
          <w:tcPr>
            <w:tcW w:w="5953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Вікна</w:t>
            </w:r>
            <w:proofErr w:type="spellEnd"/>
          </w:p>
        </w:tc>
        <w:tc>
          <w:tcPr>
            <w:tcW w:w="4785" w:type="dxa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Миття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із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застосуванням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спеціальних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засобі</w:t>
            </w:r>
            <w:proofErr w:type="gramStart"/>
            <w:r w:rsidRPr="00CA2249">
              <w:rPr>
                <w:rFonts w:eastAsia="Times New Roman" w:cs="Times New Roman"/>
                <w:szCs w:val="28"/>
              </w:rPr>
              <w:t>в</w:t>
            </w:r>
            <w:proofErr w:type="spellEnd"/>
            <w:proofErr w:type="gramEnd"/>
          </w:p>
        </w:tc>
      </w:tr>
      <w:tr w:rsidR="00CA2249" w:rsidRPr="00CA2249" w:rsidTr="000517CD">
        <w:tc>
          <w:tcPr>
            <w:tcW w:w="10738" w:type="dxa"/>
            <w:gridSpan w:val="2"/>
          </w:tcPr>
          <w:p w:rsidR="00CA2249" w:rsidRPr="00CA2249" w:rsidRDefault="00CA2249" w:rsidP="000517CD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CA2249">
              <w:rPr>
                <w:rFonts w:eastAsia="Times New Roman" w:cs="Times New Roman"/>
                <w:szCs w:val="28"/>
              </w:rPr>
              <w:t>Оперативне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реагування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на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прохання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та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зауваження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представників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2249">
              <w:rPr>
                <w:rFonts w:eastAsia="Times New Roman" w:cs="Times New Roman"/>
                <w:szCs w:val="28"/>
              </w:rPr>
              <w:t>Замовника</w:t>
            </w:r>
            <w:proofErr w:type="spellEnd"/>
            <w:r w:rsidRPr="00CA2249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:rsidR="00CA2249" w:rsidRPr="00CA2249" w:rsidRDefault="00CA2249" w:rsidP="00CA2249">
      <w:pPr>
        <w:spacing w:after="0"/>
        <w:rPr>
          <w:rFonts w:eastAsia="Times New Roman" w:cs="Times New Roman"/>
          <w:i/>
          <w:szCs w:val="28"/>
          <w:lang w:val="en-US"/>
        </w:rPr>
      </w:pPr>
    </w:p>
    <w:p w:rsidR="00CA2249" w:rsidRPr="00CA2249" w:rsidRDefault="00CA2249" w:rsidP="00CA2249">
      <w:pPr>
        <w:spacing w:after="0"/>
        <w:rPr>
          <w:rFonts w:eastAsia="Times New Roman" w:cs="Times New Roman"/>
          <w:i/>
          <w:szCs w:val="28"/>
          <w:lang w:val="en-US"/>
        </w:rPr>
      </w:pPr>
      <w:r w:rsidRPr="00CA2249">
        <w:rPr>
          <w:rFonts w:eastAsia="Times New Roman" w:cs="Times New Roman"/>
          <w:i/>
          <w:szCs w:val="28"/>
          <w:lang w:val="en-US"/>
        </w:rPr>
        <w:t>*</w:t>
      </w:r>
      <w:r w:rsidRPr="00CA2249">
        <w:rPr>
          <w:rFonts w:eastAsia="Times New Roman" w:cs="Times New Roman"/>
          <w:i/>
          <w:szCs w:val="28"/>
        </w:rPr>
        <w:t>У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разі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посилання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на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конкурентну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торговельну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марку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чи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фірму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, </w:t>
      </w:r>
      <w:r w:rsidRPr="00CA2249">
        <w:rPr>
          <w:rFonts w:eastAsia="Times New Roman" w:cs="Times New Roman"/>
          <w:i/>
          <w:szCs w:val="28"/>
        </w:rPr>
        <w:t>патент</w:t>
      </w:r>
      <w:r w:rsidRPr="00CA2249">
        <w:rPr>
          <w:rFonts w:eastAsia="Times New Roman" w:cs="Times New Roman"/>
          <w:i/>
          <w:szCs w:val="28"/>
          <w:lang w:val="en-US"/>
        </w:rPr>
        <w:t xml:space="preserve">, </w:t>
      </w:r>
      <w:proofErr w:type="spellStart"/>
      <w:r w:rsidRPr="00CA2249">
        <w:rPr>
          <w:rFonts w:eastAsia="Times New Roman" w:cs="Times New Roman"/>
          <w:i/>
          <w:szCs w:val="28"/>
        </w:rPr>
        <w:t>конструкцію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або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тип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предмета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закупівлі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, </w:t>
      </w:r>
      <w:proofErr w:type="spellStart"/>
      <w:r w:rsidRPr="00CA2249">
        <w:rPr>
          <w:rFonts w:eastAsia="Times New Roman" w:cs="Times New Roman"/>
          <w:i/>
          <w:szCs w:val="28"/>
        </w:rPr>
        <w:t>джерело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його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походження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або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виробника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треба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розуміти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та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читати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з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додатковим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виразом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«</w:t>
      </w:r>
      <w:proofErr w:type="spellStart"/>
      <w:r w:rsidRPr="00CA2249">
        <w:rPr>
          <w:rFonts w:eastAsia="Times New Roman" w:cs="Times New Roman"/>
          <w:i/>
          <w:szCs w:val="28"/>
        </w:rPr>
        <w:t>або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еквівалент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>» (</w:t>
      </w:r>
      <w:proofErr w:type="spellStart"/>
      <w:r w:rsidRPr="00CA2249">
        <w:rPr>
          <w:rFonts w:eastAsia="Times New Roman" w:cs="Times New Roman"/>
          <w:i/>
          <w:szCs w:val="28"/>
        </w:rPr>
        <w:t>згідно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з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пунктом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r w:rsidRPr="00CA2249">
        <w:rPr>
          <w:rFonts w:eastAsia="Times New Roman" w:cs="Times New Roman"/>
          <w:i/>
          <w:szCs w:val="28"/>
        </w:rPr>
        <w:t>З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частини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другої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статті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22 </w:t>
      </w:r>
      <w:r w:rsidRPr="00CA2249">
        <w:rPr>
          <w:rFonts w:eastAsia="Times New Roman" w:cs="Times New Roman"/>
          <w:i/>
          <w:szCs w:val="28"/>
        </w:rPr>
        <w:t>Закону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України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«</w:t>
      </w:r>
      <w:r w:rsidRPr="00CA2249">
        <w:rPr>
          <w:rFonts w:eastAsia="Times New Roman" w:cs="Times New Roman"/>
          <w:i/>
          <w:szCs w:val="28"/>
        </w:rPr>
        <w:t>Про</w:t>
      </w:r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публічні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</w:t>
      </w:r>
      <w:proofErr w:type="spellStart"/>
      <w:r w:rsidRPr="00CA2249">
        <w:rPr>
          <w:rFonts w:eastAsia="Times New Roman" w:cs="Times New Roman"/>
          <w:i/>
          <w:szCs w:val="28"/>
        </w:rPr>
        <w:t>закупівлі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» </w:t>
      </w:r>
      <w:proofErr w:type="spellStart"/>
      <w:r w:rsidRPr="00CA2249">
        <w:rPr>
          <w:rFonts w:eastAsia="Times New Roman" w:cs="Times New Roman"/>
          <w:i/>
          <w:szCs w:val="28"/>
        </w:rPr>
        <w:t>від</w:t>
      </w:r>
      <w:proofErr w:type="spellEnd"/>
      <w:r w:rsidRPr="00CA2249">
        <w:rPr>
          <w:rFonts w:eastAsia="Times New Roman" w:cs="Times New Roman"/>
          <w:i/>
          <w:szCs w:val="28"/>
          <w:lang w:val="en-US"/>
        </w:rPr>
        <w:t xml:space="preserve"> 25.12.2015 № 922-VIII).</w:t>
      </w:r>
    </w:p>
    <w:p w:rsidR="00CA2249" w:rsidRPr="00CA2249" w:rsidRDefault="00CA2249" w:rsidP="00CA2249">
      <w:pPr>
        <w:spacing w:after="0"/>
        <w:rPr>
          <w:rFonts w:eastAsia="Times New Roman" w:cs="Times New Roman"/>
          <w:szCs w:val="28"/>
          <w:lang w:val="en-US"/>
        </w:rPr>
      </w:pPr>
    </w:p>
    <w:p w:rsidR="00CA2249" w:rsidRPr="00CA2249" w:rsidRDefault="00CA2249" w:rsidP="00CA2249">
      <w:pPr>
        <w:pStyle w:val="ab"/>
        <w:jc w:val="center"/>
      </w:pPr>
    </w:p>
    <w:sectPr w:rsidR="00CA2249" w:rsidRPr="00CA224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CDA"/>
    <w:rsid w:val="002005E6"/>
    <w:rsid w:val="005314BA"/>
    <w:rsid w:val="006C0B77"/>
    <w:rsid w:val="008242FF"/>
    <w:rsid w:val="00870751"/>
    <w:rsid w:val="00922C48"/>
    <w:rsid w:val="00990F93"/>
    <w:rsid w:val="00995E49"/>
    <w:rsid w:val="00AB53CD"/>
    <w:rsid w:val="00B412B8"/>
    <w:rsid w:val="00B915B7"/>
    <w:rsid w:val="00CA1CDA"/>
    <w:rsid w:val="00CA2249"/>
    <w:rsid w:val="00D362C7"/>
    <w:rsid w:val="00EA59DF"/>
    <w:rsid w:val="00EE4070"/>
    <w:rsid w:val="00F12C76"/>
    <w:rsid w:val="00F429B0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basedOn w:val="a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3">
    <w:name w:val="Основний текст (3)_"/>
    <w:link w:val="30"/>
    <w:rsid w:val="00FD6662"/>
    <w:rPr>
      <w:sz w:val="28"/>
      <w:szCs w:val="28"/>
      <w:shd w:val="clear" w:color="auto" w:fill="FFFFFF"/>
    </w:rPr>
  </w:style>
  <w:style w:type="character" w:customStyle="1" w:styleId="31">
    <w:name w:val="Основний текст (3) + Напівжирний"/>
    <w:rsid w:val="00FD666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FD6662"/>
    <w:pPr>
      <w:widowControl w:val="0"/>
      <w:shd w:val="clear" w:color="auto" w:fill="FFFFFF"/>
      <w:spacing w:after="300" w:line="326" w:lineRule="exact"/>
    </w:pPr>
    <w:rPr>
      <w:rFonts w:asciiTheme="minorHAnsi" w:hAnsiTheme="minorHAnsi"/>
      <w:szCs w:val="28"/>
    </w:rPr>
  </w:style>
  <w:style w:type="paragraph" w:styleId="ab">
    <w:name w:val="No Spacing"/>
    <w:uiPriority w:val="1"/>
    <w:qFormat/>
    <w:rsid w:val="00FD6662"/>
    <w:pPr>
      <w:spacing w:after="0" w:line="240" w:lineRule="auto"/>
    </w:pPr>
    <w:rPr>
      <w:rFonts w:ascii="Times New Roman" w:hAnsi="Times New Roman"/>
      <w:sz w:val="28"/>
    </w:rPr>
  </w:style>
  <w:style w:type="table" w:styleId="ac">
    <w:name w:val="Table Grid"/>
    <w:basedOn w:val="a1"/>
    <w:uiPriority w:val="39"/>
    <w:rsid w:val="00CA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2024-01-17T07:18:00Z</dcterms:created>
  <dcterms:modified xsi:type="dcterms:W3CDTF">2024-01-17T07:18:00Z</dcterms:modified>
</cp:coreProperties>
</file>