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F407E8" w:rsidRPr="00F407E8">
        <w:rPr>
          <w:rFonts w:cs="Times New Roman"/>
          <w:b/>
          <w:szCs w:val="28"/>
          <w:lang w:val="uk-UA"/>
        </w:rPr>
        <w:t xml:space="preserve">Бензин А-95 та дизельне паливо (в талонах) за кодом </w:t>
      </w:r>
      <w:proofErr w:type="spellStart"/>
      <w:r w:rsidR="00F407E8" w:rsidRPr="00F407E8">
        <w:rPr>
          <w:rFonts w:cs="Times New Roman"/>
          <w:b/>
          <w:szCs w:val="28"/>
          <w:lang w:val="uk-UA"/>
        </w:rPr>
        <w:t>ДК</w:t>
      </w:r>
      <w:proofErr w:type="spellEnd"/>
      <w:r w:rsidR="00F407E8" w:rsidRPr="00F407E8">
        <w:rPr>
          <w:rFonts w:cs="Times New Roman"/>
          <w:b/>
          <w:szCs w:val="28"/>
          <w:lang w:val="uk-UA"/>
        </w:rPr>
        <w:t xml:space="preserve"> 021:2015 код 09130000-9: Нафта і дистиляти</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E64684"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F407E8" w:rsidRPr="00F407E8">
        <w:rPr>
          <w:rFonts w:cs="Times New Roman"/>
          <w:szCs w:val="28"/>
          <w:lang w:val="uk-UA"/>
        </w:rPr>
        <w:t xml:space="preserve">Бензин А-95 та дизельне паливо (в талонах) за кодом </w:t>
      </w:r>
      <w:proofErr w:type="spellStart"/>
      <w:r w:rsidR="00F407E8" w:rsidRPr="00F407E8">
        <w:rPr>
          <w:rFonts w:cs="Times New Roman"/>
          <w:szCs w:val="28"/>
          <w:lang w:val="uk-UA"/>
        </w:rPr>
        <w:t>ДК</w:t>
      </w:r>
      <w:proofErr w:type="spellEnd"/>
      <w:r w:rsidR="00F407E8" w:rsidRPr="00F407E8">
        <w:rPr>
          <w:rFonts w:cs="Times New Roman"/>
          <w:szCs w:val="28"/>
          <w:lang w:val="uk-UA"/>
        </w:rPr>
        <w:t xml:space="preserve"> 021:2015 код 09130000-9: Нафта і дистиляти , Бензин А-95 (в талонах) - 700 літр, Дизельне паливо (в талонах) - 700 літр</w:t>
      </w:r>
    </w:p>
    <w:p w:rsidR="005159C5" w:rsidRPr="00E64684" w:rsidRDefault="005159C5"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F407E8" w:rsidRPr="00F407E8">
        <w:rPr>
          <w:rFonts w:eastAsia="Times New Roman" w:cs="Times New Roman"/>
          <w:color w:val="000000"/>
          <w:szCs w:val="28"/>
          <w:lang w:val="uk-UA" w:eastAsia="ru-RU"/>
        </w:rPr>
        <w:t xml:space="preserve">Запит (ціни) пропозицій </w:t>
      </w:r>
      <w:r w:rsidRPr="0003333E">
        <w:rPr>
          <w:rFonts w:cs="Times New Roman"/>
          <w:szCs w:val="28"/>
          <w:lang w:val="uk-UA"/>
        </w:rPr>
        <w:t>(</w:t>
      </w:r>
      <w:r w:rsidR="00F407E8" w:rsidRPr="00F407E8">
        <w:rPr>
          <w:rFonts w:cs="Times New Roman"/>
          <w:szCs w:val="28"/>
          <w:lang w:val="uk-UA"/>
        </w:rPr>
        <w:t>UA-2024-08-09-007941-a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F407E8">
        <w:rPr>
          <w:color w:val="000000"/>
          <w:sz w:val="28"/>
          <w:szCs w:val="28"/>
          <w:lang w:val="uk-UA"/>
        </w:rPr>
        <w:t>77</w:t>
      </w:r>
      <w:r w:rsidRPr="0003333E">
        <w:rPr>
          <w:color w:val="000000"/>
          <w:sz w:val="28"/>
          <w:szCs w:val="28"/>
          <w:lang w:val="uk-UA"/>
        </w:rPr>
        <w:t xml:space="preserve"> </w:t>
      </w:r>
      <w:r w:rsidR="00F407E8">
        <w:rPr>
          <w:color w:val="000000"/>
          <w:sz w:val="28"/>
          <w:szCs w:val="28"/>
          <w:lang w:val="uk-UA"/>
        </w:rPr>
        <w:t>000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252" w:type="dxa"/>
        <w:tblCellSpacing w:w="15" w:type="dxa"/>
        <w:tblInd w:w="150" w:type="dxa"/>
        <w:tblCellMar>
          <w:left w:w="0" w:type="dxa"/>
          <w:right w:w="0" w:type="dxa"/>
        </w:tblCellMar>
        <w:tblLook w:val="04A0"/>
      </w:tblPr>
      <w:tblGrid>
        <w:gridCol w:w="4479"/>
        <w:gridCol w:w="4460"/>
        <w:gridCol w:w="313"/>
      </w:tblGrid>
      <w:tr w:rsidR="00F407E8" w:rsidRPr="00F407E8" w:rsidTr="00F407E8">
        <w:trPr>
          <w:tblCellSpacing w:w="15" w:type="dxa"/>
        </w:trPr>
        <w:tc>
          <w:tcPr>
            <w:tcW w:w="4434" w:type="dxa"/>
            <w:tcBorders>
              <w:top w:val="nil"/>
            </w:tcBorders>
            <w:shd w:val="clear" w:color="auto" w:fill="F0F5F2"/>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Відповідність</w:t>
            </w:r>
            <w:proofErr w:type="spellEnd"/>
            <w:r w:rsidRPr="00F407E8">
              <w:rPr>
                <w:rFonts w:eastAsia="Times New Roman" w:cs="Times New Roman"/>
                <w:szCs w:val="28"/>
                <w:lang w:eastAsia="ru-RU"/>
              </w:rPr>
              <w:t xml:space="preserve"> ДСТУ 7687:2015:1</w:t>
            </w:r>
          </w:p>
        </w:tc>
        <w:tc>
          <w:tcPr>
            <w:tcW w:w="4430"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Так</w:t>
            </w:r>
          </w:p>
        </w:tc>
        <w:tc>
          <w:tcPr>
            <w:tcW w:w="268"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color w:val="454545"/>
                <w:szCs w:val="28"/>
                <w:lang w:eastAsia="ru-RU"/>
              </w:rPr>
            </w:pPr>
          </w:p>
        </w:tc>
      </w:tr>
      <w:tr w:rsidR="00F407E8" w:rsidRPr="00F407E8" w:rsidTr="00F407E8">
        <w:trPr>
          <w:tblCellSpacing w:w="15" w:type="dxa"/>
        </w:trPr>
        <w:tc>
          <w:tcPr>
            <w:tcW w:w="4434" w:type="dxa"/>
            <w:tcBorders>
              <w:top w:val="nil"/>
            </w:tcBorders>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Спосіб</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реалізації</w:t>
            </w:r>
            <w:proofErr w:type="spellEnd"/>
          </w:p>
        </w:tc>
        <w:tc>
          <w:tcPr>
            <w:tcW w:w="4430" w:type="dxa"/>
            <w:tcBorders>
              <w:top w:val="nil"/>
            </w:tcBorders>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талон</w:t>
            </w:r>
          </w:p>
        </w:tc>
        <w:tc>
          <w:tcPr>
            <w:tcW w:w="268" w:type="dxa"/>
            <w:tcBorders>
              <w:top w:val="nil"/>
            </w:tcBorders>
            <w:tcMar>
              <w:top w:w="120" w:type="dxa"/>
              <w:left w:w="120" w:type="dxa"/>
              <w:bottom w:w="120" w:type="dxa"/>
              <w:right w:w="120" w:type="dxa"/>
            </w:tcMar>
            <w:hideMark/>
          </w:tcPr>
          <w:p w:rsidR="00F407E8" w:rsidRPr="00F407E8" w:rsidRDefault="00F407E8" w:rsidP="00F407E8">
            <w:pPr>
              <w:spacing w:after="0"/>
              <w:rPr>
                <w:rFonts w:eastAsia="Times New Roman" w:cs="Times New Roman"/>
                <w:color w:val="454545"/>
                <w:szCs w:val="28"/>
                <w:lang w:eastAsia="ru-RU"/>
              </w:rPr>
            </w:pPr>
          </w:p>
        </w:tc>
      </w:tr>
      <w:tr w:rsidR="00F407E8" w:rsidRPr="00F407E8" w:rsidTr="00F407E8">
        <w:trPr>
          <w:tblCellSpacing w:w="15" w:type="dxa"/>
        </w:trPr>
        <w:tc>
          <w:tcPr>
            <w:tcW w:w="4434" w:type="dxa"/>
            <w:tcBorders>
              <w:top w:val="nil"/>
            </w:tcBorders>
            <w:shd w:val="clear" w:color="auto" w:fill="F0F5F2"/>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Октанове</w:t>
            </w:r>
            <w:proofErr w:type="spellEnd"/>
            <w:r w:rsidRPr="00F407E8">
              <w:rPr>
                <w:rFonts w:eastAsia="Times New Roman" w:cs="Times New Roman"/>
                <w:szCs w:val="28"/>
                <w:lang w:eastAsia="ru-RU"/>
              </w:rPr>
              <w:t xml:space="preserve"> число (за </w:t>
            </w:r>
            <w:proofErr w:type="spellStart"/>
            <w:proofErr w:type="gramStart"/>
            <w:r w:rsidRPr="00F407E8">
              <w:rPr>
                <w:rFonts w:eastAsia="Times New Roman" w:cs="Times New Roman"/>
                <w:szCs w:val="28"/>
                <w:lang w:eastAsia="ru-RU"/>
              </w:rPr>
              <w:t>досл</w:t>
            </w:r>
            <w:proofErr w:type="gramEnd"/>
            <w:r w:rsidRPr="00F407E8">
              <w:rPr>
                <w:rFonts w:eastAsia="Times New Roman" w:cs="Times New Roman"/>
                <w:szCs w:val="28"/>
                <w:lang w:eastAsia="ru-RU"/>
              </w:rPr>
              <w:t>ідним</w:t>
            </w:r>
            <w:proofErr w:type="spellEnd"/>
            <w:r w:rsidRPr="00F407E8">
              <w:rPr>
                <w:rFonts w:eastAsia="Times New Roman" w:cs="Times New Roman"/>
                <w:szCs w:val="28"/>
                <w:lang w:eastAsia="ru-RU"/>
              </w:rPr>
              <w:t xml:space="preserve"> методом)</w:t>
            </w:r>
          </w:p>
        </w:tc>
        <w:tc>
          <w:tcPr>
            <w:tcW w:w="4430"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95</w:t>
            </w:r>
          </w:p>
        </w:tc>
        <w:tc>
          <w:tcPr>
            <w:tcW w:w="268"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color w:val="454545"/>
                <w:szCs w:val="28"/>
                <w:lang w:eastAsia="ru-RU"/>
              </w:rPr>
            </w:pPr>
          </w:p>
        </w:tc>
      </w:tr>
      <w:tr w:rsidR="00F407E8" w:rsidRPr="00F407E8" w:rsidTr="00F407E8">
        <w:trPr>
          <w:tblCellSpacing w:w="15" w:type="dxa"/>
        </w:trPr>
        <w:tc>
          <w:tcPr>
            <w:tcW w:w="9192" w:type="dxa"/>
            <w:gridSpan w:val="3"/>
            <w:tcBorders>
              <w:top w:val="nil"/>
            </w:tcBorders>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bCs/>
                <w:szCs w:val="28"/>
                <w:lang w:eastAsia="ru-RU"/>
              </w:rPr>
              <w:t>Технічні</w:t>
            </w:r>
            <w:proofErr w:type="spellEnd"/>
            <w:r w:rsidRPr="00F407E8">
              <w:rPr>
                <w:rFonts w:eastAsia="Times New Roman" w:cs="Times New Roman"/>
                <w:bCs/>
                <w:szCs w:val="28"/>
                <w:lang w:eastAsia="ru-RU"/>
              </w:rPr>
              <w:t xml:space="preserve"> характеристики предмета </w:t>
            </w:r>
            <w:proofErr w:type="spellStart"/>
            <w:r w:rsidRPr="00F407E8">
              <w:rPr>
                <w:rFonts w:eastAsia="Times New Roman" w:cs="Times New Roman"/>
                <w:bCs/>
                <w:szCs w:val="28"/>
                <w:lang w:eastAsia="ru-RU"/>
              </w:rPr>
              <w:t>закупі</w:t>
            </w:r>
            <w:proofErr w:type="gramStart"/>
            <w:r w:rsidRPr="00F407E8">
              <w:rPr>
                <w:rFonts w:eastAsia="Times New Roman" w:cs="Times New Roman"/>
                <w:bCs/>
                <w:szCs w:val="28"/>
                <w:lang w:eastAsia="ru-RU"/>
              </w:rPr>
              <w:t>вл</w:t>
            </w:r>
            <w:proofErr w:type="gramEnd"/>
            <w:r w:rsidRPr="00F407E8">
              <w:rPr>
                <w:rFonts w:eastAsia="Times New Roman" w:cs="Times New Roman"/>
                <w:bCs/>
                <w:szCs w:val="28"/>
                <w:lang w:eastAsia="ru-RU"/>
              </w:rPr>
              <w:t>і</w:t>
            </w:r>
            <w:proofErr w:type="spellEnd"/>
          </w:p>
        </w:tc>
      </w:tr>
      <w:tr w:rsidR="00F407E8" w:rsidRPr="00F407E8" w:rsidTr="00F407E8">
        <w:trPr>
          <w:tblCellSpacing w:w="15" w:type="dxa"/>
        </w:trPr>
        <w:tc>
          <w:tcPr>
            <w:tcW w:w="4434" w:type="dxa"/>
            <w:tcBorders>
              <w:top w:val="nil"/>
            </w:tcBorders>
            <w:shd w:val="clear" w:color="auto" w:fill="F0F5F2"/>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Відповідність</w:t>
            </w:r>
            <w:proofErr w:type="spellEnd"/>
            <w:r w:rsidRPr="00F407E8">
              <w:rPr>
                <w:rFonts w:eastAsia="Times New Roman" w:cs="Times New Roman"/>
                <w:szCs w:val="28"/>
                <w:lang w:eastAsia="ru-RU"/>
              </w:rPr>
              <w:t xml:space="preserve"> ДСТУ 7688:2015:1</w:t>
            </w:r>
          </w:p>
        </w:tc>
        <w:tc>
          <w:tcPr>
            <w:tcW w:w="4430"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Так</w:t>
            </w:r>
          </w:p>
        </w:tc>
        <w:tc>
          <w:tcPr>
            <w:tcW w:w="268"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color w:val="454545"/>
                <w:szCs w:val="28"/>
                <w:lang w:eastAsia="ru-RU"/>
              </w:rPr>
            </w:pPr>
          </w:p>
        </w:tc>
      </w:tr>
      <w:tr w:rsidR="00F407E8" w:rsidRPr="00F407E8" w:rsidTr="00F407E8">
        <w:trPr>
          <w:tblCellSpacing w:w="15" w:type="dxa"/>
        </w:trPr>
        <w:tc>
          <w:tcPr>
            <w:tcW w:w="4434" w:type="dxa"/>
            <w:tcBorders>
              <w:top w:val="nil"/>
            </w:tcBorders>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Спосіб</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реалізації</w:t>
            </w:r>
            <w:proofErr w:type="spellEnd"/>
          </w:p>
        </w:tc>
        <w:tc>
          <w:tcPr>
            <w:tcW w:w="4430" w:type="dxa"/>
            <w:tcBorders>
              <w:top w:val="nil"/>
            </w:tcBorders>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талон</w:t>
            </w:r>
          </w:p>
        </w:tc>
        <w:tc>
          <w:tcPr>
            <w:tcW w:w="268" w:type="dxa"/>
            <w:tcBorders>
              <w:top w:val="nil"/>
            </w:tcBorders>
            <w:tcMar>
              <w:top w:w="120" w:type="dxa"/>
              <w:left w:w="120" w:type="dxa"/>
              <w:bottom w:w="120" w:type="dxa"/>
              <w:right w:w="120" w:type="dxa"/>
            </w:tcMar>
            <w:hideMark/>
          </w:tcPr>
          <w:p w:rsidR="00F407E8" w:rsidRPr="00F407E8" w:rsidRDefault="00F407E8" w:rsidP="00F407E8">
            <w:pPr>
              <w:spacing w:after="0"/>
              <w:rPr>
                <w:rFonts w:eastAsia="Times New Roman" w:cs="Times New Roman"/>
                <w:color w:val="454545"/>
                <w:szCs w:val="28"/>
                <w:lang w:eastAsia="ru-RU"/>
              </w:rPr>
            </w:pPr>
          </w:p>
        </w:tc>
      </w:tr>
      <w:tr w:rsidR="00F407E8" w:rsidRPr="00F407E8" w:rsidTr="00F407E8">
        <w:trPr>
          <w:tblCellSpacing w:w="15" w:type="dxa"/>
        </w:trPr>
        <w:tc>
          <w:tcPr>
            <w:tcW w:w="4434" w:type="dxa"/>
            <w:tcBorders>
              <w:top w:val="nil"/>
            </w:tcBorders>
            <w:shd w:val="clear" w:color="auto" w:fill="F0F5F2"/>
            <w:tcMar>
              <w:top w:w="120" w:type="dxa"/>
              <w:left w:w="120" w:type="dxa"/>
              <w:bottom w:w="120" w:type="dxa"/>
              <w:right w:w="225"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Цетанове</w:t>
            </w:r>
            <w:proofErr w:type="spellEnd"/>
            <w:r w:rsidRPr="00F407E8">
              <w:rPr>
                <w:rFonts w:eastAsia="Times New Roman" w:cs="Times New Roman"/>
                <w:szCs w:val="28"/>
                <w:lang w:eastAsia="ru-RU"/>
              </w:rPr>
              <w:t xml:space="preserve"> число</w:t>
            </w:r>
          </w:p>
        </w:tc>
        <w:tc>
          <w:tcPr>
            <w:tcW w:w="4430" w:type="dxa"/>
            <w:tcBorders>
              <w:top w:val="nil"/>
            </w:tcBorders>
            <w:shd w:val="clear" w:color="auto" w:fill="F0F5F2"/>
            <w:tcMar>
              <w:top w:w="120" w:type="dxa"/>
              <w:left w:w="120" w:type="dxa"/>
              <w:bottom w:w="120" w:type="dxa"/>
              <w:right w:w="120" w:type="dxa"/>
            </w:tcMar>
            <w:hideMark/>
          </w:tcPr>
          <w:p w:rsidR="00F407E8" w:rsidRPr="00F407E8" w:rsidRDefault="00F407E8" w:rsidP="00F407E8">
            <w:pPr>
              <w:spacing w:after="0"/>
              <w:rPr>
                <w:rFonts w:eastAsia="Times New Roman" w:cs="Times New Roman"/>
                <w:szCs w:val="28"/>
                <w:lang w:eastAsia="ru-RU"/>
              </w:rPr>
            </w:pPr>
            <w:proofErr w:type="spellStart"/>
            <w:r w:rsidRPr="00F407E8">
              <w:rPr>
                <w:rFonts w:eastAsia="Times New Roman" w:cs="Times New Roman"/>
                <w:szCs w:val="28"/>
                <w:lang w:eastAsia="ru-RU"/>
              </w:rPr>
              <w:t>Можливі</w:t>
            </w:r>
            <w:proofErr w:type="spellEnd"/>
            <w:r w:rsidRPr="00F407E8">
              <w:rPr>
                <w:rFonts w:eastAsia="Times New Roman" w:cs="Times New Roman"/>
                <w:szCs w:val="28"/>
                <w:lang w:eastAsia="ru-RU"/>
              </w:rPr>
              <w:t xml:space="preserve"> </w:t>
            </w:r>
            <w:proofErr w:type="spellStart"/>
            <w:r w:rsidRPr="00F407E8">
              <w:rPr>
                <w:rFonts w:eastAsia="Times New Roman" w:cs="Times New Roman"/>
                <w:szCs w:val="28"/>
                <w:lang w:eastAsia="ru-RU"/>
              </w:rPr>
              <w:t>значення</w:t>
            </w:r>
            <w:proofErr w:type="spellEnd"/>
            <w:r w:rsidRPr="00F407E8">
              <w:rPr>
                <w:rFonts w:eastAsia="Times New Roman" w:cs="Times New Roman"/>
                <w:szCs w:val="28"/>
                <w:lang w:eastAsia="ru-RU"/>
              </w:rPr>
              <w:t>:</w:t>
            </w:r>
          </w:p>
          <w:p w:rsidR="00F407E8" w:rsidRPr="00F407E8" w:rsidRDefault="00F407E8" w:rsidP="00F407E8">
            <w:pPr>
              <w:spacing w:after="0"/>
              <w:rPr>
                <w:rFonts w:eastAsia="Times New Roman" w:cs="Times New Roman"/>
                <w:szCs w:val="28"/>
                <w:lang w:eastAsia="ru-RU"/>
              </w:rPr>
            </w:pPr>
            <w:r w:rsidRPr="00F407E8">
              <w:rPr>
                <w:rFonts w:eastAsia="Times New Roman" w:cs="Times New Roman"/>
                <w:szCs w:val="28"/>
                <w:lang w:eastAsia="ru-RU"/>
              </w:rPr>
              <w:t>  51</w:t>
            </w:r>
          </w:p>
        </w:tc>
        <w:tc>
          <w:tcPr>
            <w:tcW w:w="268" w:type="dxa"/>
            <w:shd w:val="clear" w:color="auto" w:fill="F0F5F2"/>
            <w:vAlign w:val="center"/>
            <w:hideMark/>
          </w:tcPr>
          <w:p w:rsidR="00F407E8" w:rsidRPr="00F407E8" w:rsidRDefault="00F407E8" w:rsidP="00F407E8">
            <w:pPr>
              <w:spacing w:after="0"/>
              <w:rPr>
                <w:rFonts w:eastAsia="Times New Roman" w:cs="Times New Roman"/>
                <w:szCs w:val="28"/>
                <w:lang w:eastAsia="ru-RU"/>
              </w:rPr>
            </w:pPr>
          </w:p>
        </w:tc>
      </w:tr>
    </w:tbl>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294F14"/>
    <w:rsid w:val="004A0563"/>
    <w:rsid w:val="005159C5"/>
    <w:rsid w:val="006C0B77"/>
    <w:rsid w:val="008242FF"/>
    <w:rsid w:val="00870751"/>
    <w:rsid w:val="00922C48"/>
    <w:rsid w:val="009304AB"/>
    <w:rsid w:val="00B915B7"/>
    <w:rsid w:val="00BF6875"/>
    <w:rsid w:val="00CC6151"/>
    <w:rsid w:val="00DC2946"/>
    <w:rsid w:val="00E64684"/>
    <w:rsid w:val="00EA59DF"/>
    <w:rsid w:val="00EE4070"/>
    <w:rsid w:val="00F1207D"/>
    <w:rsid w:val="00F12C76"/>
    <w:rsid w:val="00F14884"/>
    <w:rsid w:val="00F33492"/>
    <w:rsid w:val="00F407E8"/>
    <w:rsid w:val="00FC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124619237">
      <w:bodyDiv w:val="1"/>
      <w:marLeft w:val="0"/>
      <w:marRight w:val="0"/>
      <w:marTop w:val="0"/>
      <w:marBottom w:val="0"/>
      <w:divBdr>
        <w:top w:val="none" w:sz="0" w:space="0" w:color="auto"/>
        <w:left w:val="none" w:sz="0" w:space="0" w:color="auto"/>
        <w:bottom w:val="none" w:sz="0" w:space="0" w:color="auto"/>
        <w:right w:val="none" w:sz="0" w:space="0" w:color="auto"/>
      </w:divBdr>
      <w:divsChild>
        <w:div w:id="1615822775">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 w:id="15708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373</Words>
  <Characters>2130</Characters>
  <Application>Microsoft Office Word</Application>
  <DocSecurity>0</DocSecurity>
  <Lines>17</Lines>
  <Paragraphs>4</Paragraphs>
  <ScaleCrop>false</ScaleCrop>
  <Company>SPecialiST RePack</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12</cp:revision>
  <dcterms:created xsi:type="dcterms:W3CDTF">2024-11-26T09:16:00Z</dcterms:created>
  <dcterms:modified xsi:type="dcterms:W3CDTF">2024-11-26T09:40:00Z</dcterms:modified>
</cp:coreProperties>
</file>