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B4" w:rsidRDefault="006C1E3F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0C23B4" w:rsidRDefault="006C1E3F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2024 року</w:t>
      </w:r>
    </w:p>
    <w:p w:rsidR="000C23B4" w:rsidRDefault="000C23B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C23B4" w:rsidRDefault="006C1E3F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0C23B4" w:rsidRDefault="000C23B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0C23B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>Електрична енергія</w:t>
            </w:r>
          </w:p>
          <w:p w:rsidR="000C23B4" w:rsidRDefault="006C1E3F">
            <w:pPr>
              <w:pStyle w:val="2"/>
              <w:shd w:val="clear" w:color="auto" w:fill="FDFEFD"/>
              <w:spacing w:before="0"/>
              <w:jc w:val="center"/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</w:p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Національного класифікатора України «Єдиний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 xml:space="preserve"> 03</w:t>
            </w:r>
          </w:p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0"/>
                <w:lang w:bidi="ar-SA"/>
              </w:rPr>
              <w:t>93100000-5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)</w:t>
            </w:r>
          </w:p>
          <w:p w:rsidR="000C23B4" w:rsidRDefault="000C23B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3B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Закупівля без використання електронної системи закупівель</w:t>
            </w:r>
          </w:p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визначеними постановою КМУ від 12.10.2022 № 1178)</w:t>
            </w:r>
          </w:p>
          <w:p w:rsidR="000C23B4" w:rsidRDefault="006C1E3F">
            <w:pPr>
              <w:pStyle w:val="Standar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UA-2024-02-06-004097-a</w:t>
            </w:r>
            <w:bookmarkEnd w:id="0"/>
          </w:p>
        </w:tc>
      </w:tr>
      <w:tr w:rsidR="000C23B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350 000,00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грн з ПДВ</w:t>
            </w:r>
          </w:p>
        </w:tc>
      </w:tr>
      <w:tr w:rsidR="000C23B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Якість  повинна відповідати вимогам законодавства України та інших діючих в Україні нормативно-правових актів щодо якості ана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логічних або подібних послуг.</w:t>
            </w:r>
          </w:p>
          <w:p w:rsidR="000C23B4" w:rsidRDefault="000C23B4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0C23B4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3B4" w:rsidRDefault="006C1E3F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Відповідно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 п.п. 5, п. 13 ПКМУ від 12.10.2022 року № 1178 </w:t>
            </w:r>
            <w:r>
              <w:rPr>
                <w:rFonts w:ascii="Times New Roman" w:hAnsi="Times New Roman" w:cs="Times New Roman"/>
              </w:rPr>
              <w:t>придбання замовниками товарів і послуг (крім послуг з поточного ремонту), вартість яких становить або пер</w:t>
            </w:r>
            <w:r>
              <w:rPr>
                <w:rFonts w:ascii="Times New Roman" w:hAnsi="Times New Roman" w:cs="Times New Roman"/>
              </w:rPr>
              <w:t>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суб’єктом господарюванн</w:t>
            </w:r>
            <w:r>
              <w:rPr>
                <w:rFonts w:ascii="Times New Roman" w:hAnsi="Times New Roman" w:cs="Times New Roman"/>
              </w:rPr>
              <w:t>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Згідно з абзацом 4 підпункту 5 13 Особливостей  придбання замовниками товарів і послуг (крім послуг з поточного ремонту), вартість яких </w:t>
            </w:r>
            <w:r>
              <w:rPr>
                <w:rFonts w:ascii="Times New Roman" w:hAnsi="Times New Roman" w:cs="Times New Roman"/>
              </w:rPr>
              <w:t>становить або 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</w:t>
            </w:r>
            <w:r>
              <w:rPr>
                <w:rFonts w:ascii="Times New Roman" w:hAnsi="Times New Roman" w:cs="Times New Roman"/>
              </w:rPr>
              <w:t>том господарювання,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пункту 93 частини І статі І Закону України «Про ринок електричної енергії» № 2019-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D11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(далі- Закон), </w:t>
            </w:r>
            <w:r>
              <w:rPr>
                <w:rFonts w:ascii="Times New Roman" w:hAnsi="Times New Roman" w:cs="Times New Roman"/>
              </w:rPr>
              <w:t>універсальна послуга- постачання електричної енергії побутовим та малим не побутовим споживачам, що гарантує їхні права бути забезпеченими електричною енергією визначеної якості на умовах, визначених відповідно до цього Закону, на всій території України.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ідповідно до пункту 42 частини І статті І Закону, малий не побутовий споживач- споживач, який не є побутовим споживачем і купує </w:t>
            </w:r>
            <w:r>
              <w:rPr>
                <w:rFonts w:ascii="Times New Roman" w:hAnsi="Times New Roman" w:cs="Times New Roman"/>
              </w:rPr>
              <w:lastRenderedPageBreak/>
              <w:t xml:space="preserve">електричну енергію для власного споживання, електроустановки якого приєднані до електричних мереж з договірною потужністю до 50 </w:t>
            </w:r>
            <w:r>
              <w:rPr>
                <w:rFonts w:ascii="Times New Roman" w:hAnsi="Times New Roman" w:cs="Times New Roman"/>
              </w:rPr>
              <w:t>кВт.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Електроустановка(-ки) замовника приєднані до електричних мереж з договірною потужністю до 50 кВт.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Отже, замовник в розумінні Закону відноситься до малих не побутових споживачів та має право бути забезпеченими електричною енергією визначеної якості н</w:t>
            </w:r>
            <w:r>
              <w:rPr>
                <w:rFonts w:ascii="Times New Roman" w:hAnsi="Times New Roman" w:cs="Times New Roman"/>
              </w:rPr>
              <w:t>а умовах, визначених відповідно до статті 63 Закону. А саме: на умовах універсальної послуги.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закупівель, визначених с</w:t>
            </w:r>
            <w:r>
              <w:rPr>
                <w:rFonts w:ascii="Times New Roman" w:hAnsi="Times New Roman" w:cs="Times New Roman"/>
              </w:rPr>
              <w:t>таттею 5 Закону України «Про публічні закупівлі», а саме: максимальну економію та ефективність, відкритість та прозорість, недискримінацію учасників, запобігання корупційним діям і зловживанням.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Корупційні дії та зловживання пов’язані із формуванням ціни </w:t>
            </w:r>
            <w:r>
              <w:rPr>
                <w:rFonts w:ascii="Times New Roman" w:hAnsi="Times New Roman" w:cs="Times New Roman"/>
              </w:rPr>
              <w:t>на предмет закупівлі при постачанні електричної енергії на умовах універсальної послуги є неможливим, оскільки всі складові ціни затверджуються уповноваженими державними органами.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частини 3 статті 63 Закону постачальник надає універсальні по</w:t>
            </w:r>
            <w:r>
              <w:rPr>
                <w:rFonts w:ascii="Times New Roman" w:hAnsi="Times New Roman" w:cs="Times New Roman"/>
              </w:rPr>
              <w:t>слуги за економічно обгрунтованими , прозорими та не дискримінаційними цінами, що формуються відповідно до методики (порядку), затвердженої Регулятором,та включають, зокрема, ціну купівлі електричної енергії на ринку електричної енергії, ціну (тариф) на по</w:t>
            </w:r>
            <w:r>
              <w:rPr>
                <w:rFonts w:ascii="Times New Roman" w:hAnsi="Times New Roman" w:cs="Times New Roman"/>
              </w:rPr>
              <w:t>слуги постачальника універсальних послуг, ціни (тарифи) на послуги оператора системи передачі та оператора системи розподілу.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«Методика розрахунку тарифу на послуги постачальника універсальних послуг» затверджена Постановою НКРЕКП від 05.10.2018 року №117</w:t>
            </w:r>
            <w:r>
              <w:rPr>
                <w:rFonts w:ascii="Times New Roman" w:hAnsi="Times New Roman" w:cs="Times New Roman"/>
              </w:rPr>
              <w:t>6 «Про затвердження методики розрахунку тарифу на послуги постачальника універсальних послуг».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«Порядок формування цін на універсальні послуги» затверджений Постановою НКРЕКП від 05.10.2018 р. № 1177( з наступними змінами та доповненнями).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Таким чином, т</w:t>
            </w:r>
            <w:r>
              <w:rPr>
                <w:rFonts w:ascii="Times New Roman" w:hAnsi="Times New Roman" w:cs="Times New Roman"/>
              </w:rPr>
              <w:t>ариф на універсальну послугу є державним регульованим тарифом, всі складові вартості електричної енергії, що поставляється за універсальною послугою підлягають державному регулюванню.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У відповідності до норм пункту 13 розділу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 w:rsidRPr="00D11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«Прикінцеві та перехідні</w:t>
            </w:r>
            <w:r>
              <w:rPr>
                <w:rFonts w:ascii="Times New Roman" w:hAnsi="Times New Roman" w:cs="Times New Roman"/>
              </w:rPr>
              <w:t xml:space="preserve"> положення» Закону, під час здійснення заходів з відокремлення оператора системи розподілу вертикально інтегрований суб’єкт господарювання повинен до 01 січня 2019 року вжити заходів для відокремлення оператора системи розподілу від виробництва, передачі, </w:t>
            </w:r>
            <w:r>
              <w:rPr>
                <w:rFonts w:ascii="Times New Roman" w:hAnsi="Times New Roman" w:cs="Times New Roman"/>
              </w:rPr>
              <w:t>постачання електричної енергії шляхом створення відповідних суб’єктів господарювання, та упродовж шести років з 1 січня 2019 року такий електропостачальник, який отримав ліцензію на провадження господарської діяльності з постачання електричної енергії вико</w:t>
            </w:r>
            <w:r>
              <w:rPr>
                <w:rFonts w:ascii="Times New Roman" w:hAnsi="Times New Roman" w:cs="Times New Roman"/>
              </w:rPr>
              <w:t>нує функції постачальника універсальних послуг на закріпленій території, яка визначається як область, міста Київ та Севастополь, автономна Республіка Крим, на якій до відокремлення провадив свою діяльність з передачі електричної енергії місцевими (локальни</w:t>
            </w:r>
            <w:r>
              <w:rPr>
                <w:rFonts w:ascii="Times New Roman" w:hAnsi="Times New Roman" w:cs="Times New Roman"/>
              </w:rPr>
              <w:t>ми) електричними мережами та постачання електричної енергії за регульованим тарифом вертикально інтегрований суб’єкт господарювання.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>
              <w:rPr>
                <w:rFonts w:ascii="Times New Roman" w:hAnsi="Times New Roman" w:cs="Times New Roman"/>
              </w:rPr>
              <w:t>Відповідно до постанови НКРЕКП від 14.06.2018 р. №429 ТОВ «Тернопільелектропостач» отримало ліцензію на постачання електри</w:t>
            </w:r>
            <w:r>
              <w:rPr>
                <w:rFonts w:ascii="Times New Roman" w:hAnsi="Times New Roman" w:cs="Times New Roman"/>
              </w:rPr>
              <w:t>чної енергії споживачу.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ТОВ «Тернопільелектропостач» включене до Переліку постачальників універсальних послуг на закріпленій території, затвердженого постановою НКРЕКП «Про затвердження Методичних рекомендацій щодо передачі даних побутових та малих не поб</w:t>
            </w:r>
            <w:r>
              <w:rPr>
                <w:rFonts w:ascii="Times New Roman" w:hAnsi="Times New Roman" w:cs="Times New Roman"/>
              </w:rPr>
              <w:t>утових споживачів постачальнику електричної енергії, на якого відповідно до Закону України «Про ринок електричної енергії» покладається виконання функцій універсальної послугина закріпленій території» №1268 від 26.10.2018 р.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Відповідно до частини 2 статті</w:t>
            </w:r>
            <w:r>
              <w:rPr>
                <w:rFonts w:ascii="Times New Roman" w:hAnsi="Times New Roman" w:cs="Times New Roman"/>
              </w:rPr>
              <w:t xml:space="preserve"> 63 Закону 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Таке ж положення міститься і в пункті 3.1.1. «Правил роздрібного ринку електри</w:t>
            </w:r>
            <w:r>
              <w:rPr>
                <w:rFonts w:ascii="Times New Roman" w:hAnsi="Times New Roman" w:cs="Times New Roman"/>
              </w:rPr>
              <w:t>чної енергії», які затверджені постановою НКРЕКП №312 від 14.03.2018 р.(із змінами та доповненнями).</w:t>
            </w:r>
          </w:p>
          <w:p w:rsidR="000C23B4" w:rsidRDefault="006C1E3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ab/>
              <w:t>ТОВ «Тернопільелектропостач», яке створене в результаті здійснення заходів відокремлення оператора системи розподілу, упродовж шести років (з 01 січня 201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 року до 31 грудня 2014 року) виконує функції постачальника універсальних послугна закріпленій території — адміністративній території Тернопільської області.</w:t>
            </w:r>
          </w:p>
        </w:tc>
      </w:tr>
    </w:tbl>
    <w:p w:rsidR="000C23B4" w:rsidRDefault="000C23B4">
      <w:pPr>
        <w:pStyle w:val="Standard"/>
        <w:widowControl w:val="0"/>
        <w:tabs>
          <w:tab w:val="left" w:pos="284"/>
        </w:tabs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0C23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3F" w:rsidRDefault="006C1E3F">
      <w:pPr>
        <w:rPr>
          <w:rFonts w:hint="eastAsia"/>
        </w:rPr>
      </w:pPr>
      <w:r>
        <w:separator/>
      </w:r>
    </w:p>
  </w:endnote>
  <w:endnote w:type="continuationSeparator" w:id="0">
    <w:p w:rsidR="006C1E3F" w:rsidRDefault="006C1E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3F" w:rsidRDefault="006C1E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1E3F" w:rsidRDefault="006C1E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23B4"/>
    <w:rsid w:val="000C23B4"/>
    <w:rsid w:val="006C1E3F"/>
    <w:rsid w:val="00D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1DF5-5757-49A0-87D1-E517331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2025-02-19T13:54:00Z</dcterms:created>
  <dcterms:modified xsi:type="dcterms:W3CDTF">2025-02-19T13:54:00Z</dcterms:modified>
</cp:coreProperties>
</file>