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1B" w:rsidRP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:rsidR="001B661B" w:rsidRP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53ECE" w:rsidRDefault="001B661B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</w:pPr>
      <w:proofErr w:type="spellStart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>Ідентифікатор</w:t>
      </w:r>
      <w:proofErr w:type="spellEnd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>закупівлі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:</w:t>
      </w:r>
      <w:r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 xml:space="preserve"> </w:t>
      </w:r>
      <w:r w:rsidR="000B37B9" w:rsidRPr="000B37B9"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>UA-2025-12-01-006933-a</w:t>
      </w:r>
    </w:p>
    <w:p w:rsidR="001B661B" w:rsidRPr="005D35BD" w:rsidRDefault="001B661B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851"/>
        </w:tabs>
        <w:ind w:left="-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5" w:type="dxa"/>
        </w:tblCellMar>
        <w:tblLook w:val="0000" w:firstRow="0" w:lastRow="0" w:firstColumn="0" w:lastColumn="0" w:noHBand="0" w:noVBand="0"/>
      </w:tblPr>
      <w:tblGrid>
        <w:gridCol w:w="4409"/>
        <w:gridCol w:w="5266"/>
      </w:tblGrid>
      <w:tr w:rsidR="00753ECE" w:rsidRPr="005D35BD">
        <w:trPr>
          <w:trHeight w:val="55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Природний газ</w:t>
            </w:r>
          </w:p>
        </w:tc>
      </w:tr>
      <w:tr w:rsidR="00753ECE" w:rsidRPr="005D35BD">
        <w:trPr>
          <w:trHeight w:val="55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09120000-6 – газове паливо</w:t>
            </w:r>
          </w:p>
        </w:tc>
      </w:tr>
      <w:tr w:rsidR="00753ECE" w:rsidRPr="005D35BD">
        <w:trPr>
          <w:trHeight w:val="2006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0" w:name="_heading=h.6nupd4wi4rmk"/>
            <w:bookmarkEnd w:id="0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природний газ: 09123000-7 – природний газ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D35BD" w:rsidRDefault="005A12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тисяча кубічних </w:t>
            </w: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метр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(тис. </w:t>
            </w:r>
            <w:proofErr w:type="spellStart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753ECE" w:rsidRPr="005D35BD" w:rsidRDefault="00753EC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(обсяг), 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0B37B9" w:rsidP="005D35BD">
            <w:pPr>
              <w:spacing w:after="0"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15 </w:t>
            </w:r>
            <w:proofErr w:type="spellStart"/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тис.куб</w:t>
            </w:r>
            <w:proofErr w:type="spellEnd"/>
            <w:r w:rsid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 поставки товару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7616C" w:rsidRDefault="0057616C" w:rsidP="005A12D7">
            <w:pPr>
              <w:spacing w:after="0"/>
              <w:jc w:val="both"/>
            </w:pPr>
            <w:r w:rsidRPr="005761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Місце поставки товарів: Україна, Чернівецька область, за об’єктами УДМС у Чернівецькій області  які приєднані до газотранспортної мережі.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D35BD" w:rsidRDefault="000B37B9" w:rsidP="000C034E">
            <w:pPr>
              <w:spacing w:after="0"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Цілодобово з 01.01.2026 до 31.03</w:t>
            </w:r>
            <w:bookmarkStart w:id="1" w:name="_GoBack"/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bookmarkEnd w:id="1"/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включно.</w:t>
            </w:r>
          </w:p>
        </w:tc>
      </w:tr>
    </w:tbl>
    <w:p w:rsidR="001B661B" w:rsidRPr="005D35BD" w:rsidRDefault="001B661B" w:rsidP="001B661B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 w:line="240" w:lineRule="auto"/>
        <w:ind w:left="2" w:firstLine="56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ринок природного газу» № 329-VIII від 09.04.2015;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іншим нормативно-правовим актам, прийнятим на виконання Закону України «Про ринок природного газу».</w:t>
      </w:r>
    </w:p>
    <w:p w:rsidR="00753ECE" w:rsidRPr="005D35BD" w:rsidRDefault="00753ECE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" w:firstLine="56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Вимоги щодо якості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предмета закупівлі</w:t>
      </w: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</w:p>
    <w:p w:rsidR="00753ECE" w:rsidRPr="005D35BD" w:rsidRDefault="005A12D7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</w:t>
      </w: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0C034E" w:rsidRPr="000C034E" w:rsidRDefault="000C034E" w:rsidP="000C034E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</w:t>
      </w:r>
      <w:proofErr w:type="spellStart"/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рт</w:t>
      </w:r>
      <w:proofErr w:type="spellEnd"/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ст.).</w:t>
      </w:r>
    </w:p>
    <w:p w:rsidR="00753ECE" w:rsidRPr="000C034E" w:rsidRDefault="00753EC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 w:line="240" w:lineRule="auto"/>
        <w:ind w:left="2" w:firstLine="56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Особливі вимоги до предмета закупівлі.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4.1. 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послуг, пов’язаних з транспортуванням газу</w:t>
      </w: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до точки входу в газорозподільну систему, до якої підключено об’єкти Замовника,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При цьому до ціни газу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не включається вартість послуг з розподілу природного газу</w:t>
      </w: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, що є предметом регулювання окремого договору між Замовником та Оператором газорозподільної системи.</w:t>
      </w:r>
    </w:p>
    <w:p w:rsidR="00753ECE" w:rsidRPr="00E06C79" w:rsidRDefault="005A12D7">
      <w:pPr>
        <w:tabs>
          <w:tab w:val="left" w:pos="284"/>
          <w:tab w:val="left" w:pos="993"/>
          <w:tab w:val="left" w:pos="1560"/>
        </w:tabs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06C79" w:rsidRDefault="005A12D7" w:rsidP="00E06C79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E06C79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="00E06C79" w:rsidRPr="00E06C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E06C79" w:rsidRPr="00E06C79">
        <w:rPr>
          <w:rFonts w:ascii="Times New Roman" w:hAnsi="Times New Roman"/>
          <w:b/>
          <w:spacing w:val="7"/>
          <w:sz w:val="24"/>
          <w:szCs w:val="24"/>
          <w:lang w:val="uk-UA"/>
        </w:rPr>
        <w:t xml:space="preserve">Очікувана вартість предмета закупівлі: </w:t>
      </w:r>
      <w:r w:rsidR="000B37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255 789,00</w:t>
      </w:r>
      <w:r w:rsidR="000B37B9" w:rsidRPr="007025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грн. з ПДВ</w:t>
      </w:r>
      <w:r w:rsidR="00E06C79" w:rsidRPr="00E06C79">
        <w:rPr>
          <w:rFonts w:ascii="Times New Roman" w:hAnsi="Times New Roman"/>
          <w:b/>
          <w:spacing w:val="7"/>
          <w:sz w:val="24"/>
          <w:szCs w:val="24"/>
          <w:lang w:val="uk-UA"/>
        </w:rPr>
        <w:t xml:space="preserve">. </w:t>
      </w:r>
      <w:r w:rsidR="00E06C79" w:rsidRPr="00E06C79">
        <w:rPr>
          <w:rFonts w:ascii="Times New Roman" w:hAnsi="Times New Roman"/>
          <w:sz w:val="24"/>
          <w:szCs w:val="24"/>
          <w:lang w:val="uk-UA"/>
        </w:rPr>
        <w:t>Очікувана вартість визначена з урахуванням положень Примірної методики визначення очікуваної вартості закупівлі, затвердженої Наказом Міністерства розвитку економіки, торгівлі і сільського господарств</w:t>
      </w:r>
      <w:r w:rsidR="00E06C79">
        <w:rPr>
          <w:rFonts w:ascii="Times New Roman" w:hAnsi="Times New Roman"/>
          <w:sz w:val="24"/>
          <w:szCs w:val="24"/>
          <w:lang w:val="uk-UA"/>
        </w:rPr>
        <w:t xml:space="preserve">а України від 20.02.2020 № 275 та </w:t>
      </w:r>
      <w:r w:rsidR="00E06C79" w:rsidRPr="007025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енергії, затвердженим постановою Кабінету Міністрів України від 19.07.2022 № 812 (зі змінами) (надалі – Положення, Постанова №812) </w:t>
      </w:r>
      <w:r w:rsidR="00E06C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 урахуванням вартості природнього газу для бюджетних установ. </w:t>
      </w:r>
    </w:p>
    <w:p w:rsidR="00E06C79" w:rsidRDefault="00E06C79" w:rsidP="00E06C79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Р</w:t>
      </w:r>
      <w:r w:rsidRPr="00E375F9">
        <w:t>озмір бюджетного призначення</w:t>
      </w:r>
      <w:bookmarkStart w:id="2" w:name="w1_2"/>
      <w:r w:rsidRPr="00E375F9">
        <w:t xml:space="preserve"> </w:t>
      </w:r>
      <w:r>
        <w:t xml:space="preserve">визначається </w:t>
      </w:r>
      <w:r w:rsidR="000B37B9">
        <w:t xml:space="preserve">плановими показниками згідно бюджетної декларації на </w:t>
      </w:r>
      <w:r>
        <w:t>202</w:t>
      </w:r>
      <w:r w:rsidR="000B37B9">
        <w:t>6</w:t>
      </w:r>
      <w:r>
        <w:t xml:space="preserve"> р. </w:t>
      </w:r>
    </w:p>
    <w:bookmarkEnd w:id="2"/>
    <w:p w:rsidR="00753ECE" w:rsidRPr="005D35BD" w:rsidRDefault="00753ECE">
      <w:pPr>
        <w:tabs>
          <w:tab w:val="left" w:pos="284"/>
          <w:tab w:val="left" w:pos="993"/>
          <w:tab w:val="left" w:pos="1560"/>
        </w:tabs>
        <w:spacing w:after="0" w:line="276" w:lineRule="auto"/>
        <w:ind w:firstLine="0"/>
        <w:jc w:val="both"/>
        <w:rPr>
          <w:lang w:val="uk-UA"/>
        </w:rPr>
      </w:pPr>
    </w:p>
    <w:sectPr w:rsidR="00753ECE" w:rsidRPr="005D35BD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2B63"/>
    <w:multiLevelType w:val="multilevel"/>
    <w:tmpl w:val="47948D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2"/>
        <w:vertAlign w:val="baseline"/>
      </w:rPr>
    </w:lvl>
  </w:abstractNum>
  <w:abstractNum w:abstractNumId="1">
    <w:nsid w:val="1C1F04E8"/>
    <w:multiLevelType w:val="multilevel"/>
    <w:tmpl w:val="BA920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384B17"/>
    <w:multiLevelType w:val="multilevel"/>
    <w:tmpl w:val="05F6FBF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CE"/>
    <w:rsid w:val="000B37B9"/>
    <w:rsid w:val="000C034E"/>
    <w:rsid w:val="001B661B"/>
    <w:rsid w:val="001C653A"/>
    <w:rsid w:val="0057616C"/>
    <w:rsid w:val="005A12D7"/>
    <w:rsid w:val="005D35BD"/>
    <w:rsid w:val="00646133"/>
    <w:rsid w:val="006766DB"/>
    <w:rsid w:val="00753ECE"/>
    <w:rsid w:val="00897124"/>
    <w:rsid w:val="009B3D41"/>
    <w:rsid w:val="00AE34A1"/>
    <w:rsid w:val="00E06C79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D2F9-0E04-4067-AA09-3185608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="-1" w:hanging="1"/>
      <w:textAlignment w:val="top"/>
      <w:outlineLvl w:val="0"/>
    </w:pPr>
    <w:rPr>
      <w:color w:val="00000A"/>
      <w:sz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right="-567"/>
      <w:jc w:val="both"/>
    </w:pPr>
    <w:rPr>
      <w:rFonts w:ascii="Times New Roman" w:eastAsia="Times New Roman" w:hAnsi="Times New Roman"/>
      <w:b/>
      <w:i/>
      <w:sz w:val="28"/>
      <w:szCs w:val="20"/>
      <w:lang w:val="uk-UA"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  <w:lang w:val="uk-UA" w:eastAsia="uk-UA"/>
    </w:rPr>
  </w:style>
  <w:style w:type="character" w:customStyle="1" w:styleId="a4">
    <w:name w:val="Название Знак"/>
    <w:qFormat/>
    <w:rPr>
      <w:rFonts w:ascii="Cambria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a5">
    <w:name w:val="Заголовок Знак"/>
    <w:qFormat/>
    <w:rPr>
      <w:rFonts w:ascii="Calibri Light" w:eastAsia="Times New Roman" w:hAnsi="Calibri Light" w:cs="Times New Roman"/>
      <w:spacing w:val="-10"/>
      <w:w w:val="100"/>
      <w:kern w:val="2"/>
      <w:position w:val="0"/>
      <w:sz w:val="56"/>
      <w:szCs w:val="56"/>
      <w:effect w:val="none"/>
      <w:vertAlign w:val="baseline"/>
      <w:em w:val="none"/>
    </w:rPr>
  </w:style>
  <w:style w:type="character" w:customStyle="1" w:styleId="20">
    <w:name w:val="Абзац списка Знак;Список уровня 2 Знак"/>
    <w:qFormat/>
    <w:rPr>
      <w:w w:val="100"/>
      <w:position w:val="0"/>
      <w:sz w:val="22"/>
      <w:szCs w:val="22"/>
      <w:effect w:val="none"/>
      <w:vertAlign w:val="baseline"/>
      <w:em w:val="none"/>
      <w:lang w:val="ru-RU" w:eastAsia="en-US"/>
    </w:rPr>
  </w:style>
  <w:style w:type="character" w:customStyle="1" w:styleId="rvts0">
    <w:name w:val="rvts0"/>
    <w:basedOn w:val="a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6">
    <w:name w:val="Текст выноски Знак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en-US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i/>
      <w:w w:val="100"/>
      <w:position w:val="0"/>
      <w:sz w:val="28"/>
      <w:effect w:val="none"/>
      <w:vertAlign w:val="baseline"/>
      <w:em w:val="none"/>
      <w:lang w:val="uk-UA"/>
    </w:rPr>
  </w:style>
  <w:style w:type="character" w:customStyle="1" w:styleId="ListLabel1">
    <w:name w:val="ListLabel 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2"/>
      <w:vertAlign w:val="baseline"/>
    </w:rPr>
  </w:style>
  <w:style w:type="character" w:customStyle="1" w:styleId="ListLabel21">
    <w:name w:val="ListLabel 21"/>
    <w:qFormat/>
    <w:rPr>
      <w:position w:val="0"/>
      <w:sz w:val="22"/>
      <w:vertAlign w:val="baseline"/>
    </w:rPr>
  </w:style>
  <w:style w:type="character" w:customStyle="1" w:styleId="ListLabel22">
    <w:name w:val="ListLabel 22"/>
    <w:qFormat/>
    <w:rPr>
      <w:position w:val="0"/>
      <w:sz w:val="22"/>
      <w:vertAlign w:val="baseline"/>
    </w:rPr>
  </w:style>
  <w:style w:type="character" w:customStyle="1" w:styleId="ListLabel23">
    <w:name w:val="ListLabel 23"/>
    <w:qFormat/>
    <w:rPr>
      <w:position w:val="0"/>
      <w:sz w:val="22"/>
      <w:vertAlign w:val="baseline"/>
    </w:rPr>
  </w:style>
  <w:style w:type="character" w:customStyle="1" w:styleId="ListLabel24">
    <w:name w:val="ListLabel 24"/>
    <w:qFormat/>
    <w:rPr>
      <w:position w:val="0"/>
      <w:sz w:val="22"/>
      <w:vertAlign w:val="baseline"/>
    </w:rPr>
  </w:style>
  <w:style w:type="character" w:customStyle="1" w:styleId="ListLabel25">
    <w:name w:val="ListLabel 25"/>
    <w:qFormat/>
    <w:rPr>
      <w:position w:val="0"/>
      <w:sz w:val="22"/>
      <w:vertAlign w:val="baseline"/>
    </w:rPr>
  </w:style>
  <w:style w:type="character" w:customStyle="1" w:styleId="ListLabel26">
    <w:name w:val="ListLabel 26"/>
    <w:qFormat/>
    <w:rPr>
      <w:position w:val="0"/>
      <w:sz w:val="22"/>
      <w:vertAlign w:val="baseline"/>
    </w:rPr>
  </w:style>
  <w:style w:type="character" w:customStyle="1" w:styleId="ListLabel27">
    <w:name w:val="ListLabel 27"/>
    <w:qFormat/>
    <w:rPr>
      <w:position w:val="0"/>
      <w:sz w:val="22"/>
      <w:vertAlign w:val="baseline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  <w:u w:val="none"/>
    </w:rPr>
  </w:style>
  <w:style w:type="character" w:customStyle="1" w:styleId="ListLabel29">
    <w:name w:val="ListLabel 29"/>
    <w:qFormat/>
    <w:rPr>
      <w:rFonts w:cs="Wingdings 2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Wingdings"/>
      <w:u w:val="none"/>
    </w:rPr>
  </w:style>
  <w:style w:type="character" w:customStyle="1" w:styleId="ListLabel32">
    <w:name w:val="ListLabel 32"/>
    <w:qFormat/>
    <w:rPr>
      <w:rFonts w:cs="Wingdings 2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Wingdings"/>
      <w:u w:val="none"/>
    </w:rPr>
  </w:style>
  <w:style w:type="character" w:customStyle="1" w:styleId="ListLabel35">
    <w:name w:val="ListLabel 35"/>
    <w:qFormat/>
    <w:rPr>
      <w:rFonts w:cs="Wingdings 2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character" w:customStyle="1" w:styleId="ListLabel37">
    <w:name w:val="ListLabel 37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2"/>
      <w:vertAlign w:val="baseline"/>
    </w:rPr>
  </w:style>
  <w:style w:type="character" w:customStyle="1" w:styleId="ListLabel39">
    <w:name w:val="ListLabel 39"/>
    <w:qFormat/>
    <w:rPr>
      <w:position w:val="0"/>
      <w:sz w:val="22"/>
      <w:vertAlign w:val="baseline"/>
    </w:rPr>
  </w:style>
  <w:style w:type="character" w:customStyle="1" w:styleId="ListLabel40">
    <w:name w:val="ListLabel 40"/>
    <w:qFormat/>
    <w:rPr>
      <w:position w:val="0"/>
      <w:sz w:val="22"/>
      <w:vertAlign w:val="baseline"/>
    </w:rPr>
  </w:style>
  <w:style w:type="character" w:customStyle="1" w:styleId="ListLabel41">
    <w:name w:val="ListLabel 41"/>
    <w:qFormat/>
    <w:rPr>
      <w:position w:val="0"/>
      <w:sz w:val="22"/>
      <w:vertAlign w:val="baseline"/>
    </w:rPr>
  </w:style>
  <w:style w:type="character" w:customStyle="1" w:styleId="ListLabel42">
    <w:name w:val="ListLabel 42"/>
    <w:qFormat/>
    <w:rPr>
      <w:position w:val="0"/>
      <w:sz w:val="22"/>
      <w:vertAlign w:val="baseline"/>
    </w:rPr>
  </w:style>
  <w:style w:type="character" w:customStyle="1" w:styleId="ListLabel43">
    <w:name w:val="ListLabel 43"/>
    <w:qFormat/>
    <w:rPr>
      <w:position w:val="0"/>
      <w:sz w:val="22"/>
      <w:vertAlign w:val="baseline"/>
    </w:rPr>
  </w:style>
  <w:style w:type="character" w:customStyle="1" w:styleId="ListLabel44">
    <w:name w:val="ListLabel 44"/>
    <w:qFormat/>
    <w:rPr>
      <w:position w:val="0"/>
      <w:sz w:val="22"/>
      <w:vertAlign w:val="baseline"/>
    </w:rPr>
  </w:style>
  <w:style w:type="character" w:customStyle="1" w:styleId="ListLabel45">
    <w:name w:val="ListLabel 45"/>
    <w:qFormat/>
    <w:rPr>
      <w:position w:val="0"/>
      <w:sz w:val="22"/>
      <w:vertAlign w:val="baseline"/>
    </w:rPr>
  </w:style>
  <w:style w:type="character" w:customStyle="1" w:styleId="ListLabel46">
    <w:name w:val="ListLabel 46"/>
    <w:qFormat/>
    <w:rPr>
      <w:rFonts w:ascii="Times New Roman" w:hAnsi="Times New Roman" w:cs="Wingdings"/>
      <w:sz w:val="24"/>
      <w:u w:val="none"/>
    </w:rPr>
  </w:style>
  <w:style w:type="character" w:customStyle="1" w:styleId="ListLabel47">
    <w:name w:val="ListLabel 47"/>
    <w:qFormat/>
    <w:rPr>
      <w:rFonts w:cs="Wingdings 2"/>
      <w:u w:val="none"/>
    </w:rPr>
  </w:style>
  <w:style w:type="character" w:customStyle="1" w:styleId="ListLabel48">
    <w:name w:val="ListLabel 48"/>
    <w:qFormat/>
    <w:rPr>
      <w:rFonts w:cs="OpenSymbol"/>
      <w:u w:val="none"/>
    </w:rPr>
  </w:style>
  <w:style w:type="character" w:customStyle="1" w:styleId="ListLabel49">
    <w:name w:val="ListLabel 49"/>
    <w:qFormat/>
    <w:rPr>
      <w:rFonts w:cs="Wingdings"/>
      <w:u w:val="none"/>
    </w:rPr>
  </w:style>
  <w:style w:type="character" w:customStyle="1" w:styleId="ListLabel50">
    <w:name w:val="ListLabel 50"/>
    <w:qFormat/>
    <w:rPr>
      <w:rFonts w:cs="Wingdings 2"/>
      <w:u w:val="none"/>
    </w:rPr>
  </w:style>
  <w:style w:type="character" w:customStyle="1" w:styleId="ListLabel51">
    <w:name w:val="ListLabel 51"/>
    <w:qFormat/>
    <w:rPr>
      <w:rFonts w:cs="OpenSymbol"/>
      <w:u w:val="none"/>
    </w:rPr>
  </w:style>
  <w:style w:type="character" w:customStyle="1" w:styleId="ListLabel52">
    <w:name w:val="ListLabel 52"/>
    <w:qFormat/>
    <w:rPr>
      <w:rFonts w:cs="Wingdings"/>
      <w:u w:val="none"/>
    </w:rPr>
  </w:style>
  <w:style w:type="character" w:customStyle="1" w:styleId="ListLabel53">
    <w:name w:val="ListLabel 53"/>
    <w:qFormat/>
    <w:rPr>
      <w:rFonts w:cs="Wingdings 2"/>
      <w:u w:val="none"/>
    </w:rPr>
  </w:style>
  <w:style w:type="character" w:customStyle="1" w:styleId="ListLabel54">
    <w:name w:val="ListLabel 54"/>
    <w:qFormat/>
    <w:rPr>
      <w:rFonts w:cs="OpenSymbol"/>
      <w:u w:val="none"/>
    </w:rPr>
  </w:style>
  <w:style w:type="character" w:customStyle="1" w:styleId="ListLabel55">
    <w:name w:val="ListLabel 55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56">
    <w:name w:val="ListLabel 56"/>
    <w:qFormat/>
    <w:rPr>
      <w:position w:val="0"/>
      <w:sz w:val="22"/>
      <w:vertAlign w:val="baseline"/>
    </w:rPr>
  </w:style>
  <w:style w:type="character" w:customStyle="1" w:styleId="ListLabel57">
    <w:name w:val="ListLabel 57"/>
    <w:qFormat/>
    <w:rPr>
      <w:position w:val="0"/>
      <w:sz w:val="22"/>
      <w:vertAlign w:val="baseline"/>
    </w:rPr>
  </w:style>
  <w:style w:type="character" w:customStyle="1" w:styleId="ListLabel58">
    <w:name w:val="ListLabel 58"/>
    <w:qFormat/>
    <w:rPr>
      <w:position w:val="0"/>
      <w:sz w:val="22"/>
      <w:vertAlign w:val="baseline"/>
    </w:rPr>
  </w:style>
  <w:style w:type="character" w:customStyle="1" w:styleId="ListLabel59">
    <w:name w:val="ListLabel 59"/>
    <w:qFormat/>
    <w:rPr>
      <w:position w:val="0"/>
      <w:sz w:val="22"/>
      <w:vertAlign w:val="baseline"/>
    </w:rPr>
  </w:style>
  <w:style w:type="character" w:customStyle="1" w:styleId="ListLabel60">
    <w:name w:val="ListLabel 60"/>
    <w:qFormat/>
    <w:rPr>
      <w:position w:val="0"/>
      <w:sz w:val="22"/>
      <w:vertAlign w:val="baseline"/>
    </w:rPr>
  </w:style>
  <w:style w:type="character" w:customStyle="1" w:styleId="ListLabel61">
    <w:name w:val="ListLabel 61"/>
    <w:qFormat/>
    <w:rPr>
      <w:position w:val="0"/>
      <w:sz w:val="22"/>
      <w:vertAlign w:val="baseline"/>
    </w:rPr>
  </w:style>
  <w:style w:type="character" w:customStyle="1" w:styleId="ListLabel62">
    <w:name w:val="ListLabel 62"/>
    <w:qFormat/>
    <w:rPr>
      <w:position w:val="0"/>
      <w:sz w:val="22"/>
      <w:vertAlign w:val="baseline"/>
    </w:rPr>
  </w:style>
  <w:style w:type="character" w:customStyle="1" w:styleId="ListLabel63">
    <w:name w:val="ListLabel 63"/>
    <w:qFormat/>
    <w:rPr>
      <w:position w:val="0"/>
      <w:sz w:val="22"/>
      <w:vertAlign w:val="baseline"/>
    </w:rPr>
  </w:style>
  <w:style w:type="character" w:customStyle="1" w:styleId="ListLabel64">
    <w:name w:val="ListLabel 64"/>
    <w:qFormat/>
    <w:rPr>
      <w:rFonts w:ascii="Times New Roman" w:hAnsi="Times New Roman" w:cs="Wingdings"/>
      <w:sz w:val="24"/>
      <w:u w:val="none"/>
    </w:rPr>
  </w:style>
  <w:style w:type="character" w:customStyle="1" w:styleId="ListLabel65">
    <w:name w:val="ListLabel 65"/>
    <w:qFormat/>
    <w:rPr>
      <w:rFonts w:cs="Wingdings 2"/>
      <w:u w:val="none"/>
    </w:rPr>
  </w:style>
  <w:style w:type="character" w:customStyle="1" w:styleId="ListLabel66">
    <w:name w:val="ListLabel 66"/>
    <w:qFormat/>
    <w:rPr>
      <w:rFonts w:cs="OpenSymbol"/>
      <w:u w:val="none"/>
    </w:rPr>
  </w:style>
  <w:style w:type="character" w:customStyle="1" w:styleId="ListLabel67">
    <w:name w:val="ListLabel 67"/>
    <w:qFormat/>
    <w:rPr>
      <w:rFonts w:cs="Wingdings"/>
      <w:u w:val="none"/>
    </w:rPr>
  </w:style>
  <w:style w:type="character" w:customStyle="1" w:styleId="ListLabel68">
    <w:name w:val="ListLabel 68"/>
    <w:qFormat/>
    <w:rPr>
      <w:rFonts w:cs="Wingdings 2"/>
      <w:u w:val="none"/>
    </w:rPr>
  </w:style>
  <w:style w:type="character" w:customStyle="1" w:styleId="ListLabel69">
    <w:name w:val="ListLabel 69"/>
    <w:qFormat/>
    <w:rPr>
      <w:rFonts w:cs="OpenSymbol"/>
      <w:u w:val="none"/>
    </w:rPr>
  </w:style>
  <w:style w:type="character" w:customStyle="1" w:styleId="ListLabel70">
    <w:name w:val="ListLabel 70"/>
    <w:qFormat/>
    <w:rPr>
      <w:rFonts w:cs="Wingdings"/>
      <w:u w:val="none"/>
    </w:rPr>
  </w:style>
  <w:style w:type="character" w:customStyle="1" w:styleId="ListLabel71">
    <w:name w:val="ListLabel 71"/>
    <w:qFormat/>
    <w:rPr>
      <w:rFonts w:cs="Wingdings 2"/>
      <w:u w:val="none"/>
    </w:rPr>
  </w:style>
  <w:style w:type="character" w:customStyle="1" w:styleId="ListLabel72">
    <w:name w:val="ListLabel 72"/>
    <w:qFormat/>
    <w:rPr>
      <w:rFonts w:cs="OpenSymbol"/>
      <w:u w:val="none"/>
    </w:rPr>
  </w:style>
  <w:style w:type="character" w:customStyle="1" w:styleId="ListLabel73">
    <w:name w:val="ListLabel 73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2"/>
      <w:vertAlign w:val="baseline"/>
    </w:rPr>
  </w:style>
  <w:style w:type="character" w:customStyle="1" w:styleId="ListLabel75">
    <w:name w:val="ListLabel 75"/>
    <w:qFormat/>
    <w:rPr>
      <w:position w:val="0"/>
      <w:sz w:val="22"/>
      <w:vertAlign w:val="baseline"/>
    </w:rPr>
  </w:style>
  <w:style w:type="character" w:customStyle="1" w:styleId="ListLabel76">
    <w:name w:val="ListLabel 76"/>
    <w:qFormat/>
    <w:rPr>
      <w:position w:val="0"/>
      <w:sz w:val="22"/>
      <w:vertAlign w:val="baseline"/>
    </w:rPr>
  </w:style>
  <w:style w:type="character" w:customStyle="1" w:styleId="ListLabel77">
    <w:name w:val="ListLabel 77"/>
    <w:qFormat/>
    <w:rPr>
      <w:position w:val="0"/>
      <w:sz w:val="22"/>
      <w:vertAlign w:val="baseline"/>
    </w:rPr>
  </w:style>
  <w:style w:type="character" w:customStyle="1" w:styleId="ListLabel78">
    <w:name w:val="ListLabel 78"/>
    <w:qFormat/>
    <w:rPr>
      <w:position w:val="0"/>
      <w:sz w:val="22"/>
      <w:vertAlign w:val="baseline"/>
    </w:rPr>
  </w:style>
  <w:style w:type="character" w:customStyle="1" w:styleId="ListLabel79">
    <w:name w:val="ListLabel 79"/>
    <w:qFormat/>
    <w:rPr>
      <w:position w:val="0"/>
      <w:sz w:val="22"/>
      <w:vertAlign w:val="baseline"/>
    </w:rPr>
  </w:style>
  <w:style w:type="character" w:customStyle="1" w:styleId="ListLabel80">
    <w:name w:val="ListLabel 80"/>
    <w:qFormat/>
    <w:rPr>
      <w:position w:val="0"/>
      <w:sz w:val="22"/>
      <w:vertAlign w:val="baseline"/>
    </w:rPr>
  </w:style>
  <w:style w:type="character" w:customStyle="1" w:styleId="ListLabel81">
    <w:name w:val="ListLabel 81"/>
    <w:qFormat/>
    <w:rPr>
      <w:position w:val="0"/>
      <w:sz w:val="22"/>
      <w:vertAlign w:val="baseline"/>
    </w:rPr>
  </w:style>
  <w:style w:type="character" w:customStyle="1" w:styleId="ListLabel82">
    <w:name w:val="ListLabel 82"/>
    <w:qFormat/>
    <w:rPr>
      <w:rFonts w:ascii="Times New Roman" w:hAnsi="Times New Roman" w:cs="Wingdings"/>
      <w:sz w:val="24"/>
      <w:u w:val="none"/>
    </w:rPr>
  </w:style>
  <w:style w:type="character" w:customStyle="1" w:styleId="ListLabel83">
    <w:name w:val="ListLabel 83"/>
    <w:qFormat/>
    <w:rPr>
      <w:rFonts w:cs="Wingdings 2"/>
      <w:u w:val="none"/>
    </w:rPr>
  </w:style>
  <w:style w:type="character" w:customStyle="1" w:styleId="ListLabel84">
    <w:name w:val="ListLabel 84"/>
    <w:qFormat/>
    <w:rPr>
      <w:rFonts w:cs="OpenSymbol"/>
      <w:u w:val="none"/>
    </w:rPr>
  </w:style>
  <w:style w:type="character" w:customStyle="1" w:styleId="ListLabel85">
    <w:name w:val="ListLabel 85"/>
    <w:qFormat/>
    <w:rPr>
      <w:rFonts w:cs="Wingdings"/>
      <w:u w:val="none"/>
    </w:rPr>
  </w:style>
  <w:style w:type="character" w:customStyle="1" w:styleId="ListLabel86">
    <w:name w:val="ListLabel 86"/>
    <w:qFormat/>
    <w:rPr>
      <w:rFonts w:cs="Wingdings 2"/>
      <w:u w:val="none"/>
    </w:rPr>
  </w:style>
  <w:style w:type="character" w:customStyle="1" w:styleId="ListLabel87">
    <w:name w:val="ListLabel 87"/>
    <w:qFormat/>
    <w:rPr>
      <w:rFonts w:cs="OpenSymbol"/>
      <w:u w:val="none"/>
    </w:rPr>
  </w:style>
  <w:style w:type="character" w:customStyle="1" w:styleId="ListLabel88">
    <w:name w:val="ListLabel 88"/>
    <w:qFormat/>
    <w:rPr>
      <w:rFonts w:cs="Wingdings"/>
      <w:u w:val="none"/>
    </w:rPr>
  </w:style>
  <w:style w:type="character" w:customStyle="1" w:styleId="ListLabel89">
    <w:name w:val="ListLabel 89"/>
    <w:qFormat/>
    <w:rPr>
      <w:rFonts w:cs="Wingdings 2"/>
      <w:u w:val="none"/>
    </w:rPr>
  </w:style>
  <w:style w:type="character" w:customStyle="1" w:styleId="ListLabel90">
    <w:name w:val="ListLabel 90"/>
    <w:qFormat/>
    <w:rPr>
      <w:rFonts w:cs="OpenSymbol"/>
      <w:u w:val="none"/>
    </w:rPr>
  </w:style>
  <w:style w:type="character" w:customStyle="1" w:styleId="ListLabel91">
    <w:name w:val="ListLabel 9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2"/>
      <w:vertAlign w:val="baseline"/>
    </w:rPr>
  </w:style>
  <w:style w:type="character" w:customStyle="1" w:styleId="ListLabel93">
    <w:name w:val="ListLabel 93"/>
    <w:qFormat/>
    <w:rPr>
      <w:position w:val="0"/>
      <w:sz w:val="22"/>
      <w:vertAlign w:val="baseline"/>
    </w:rPr>
  </w:style>
  <w:style w:type="character" w:customStyle="1" w:styleId="ListLabel94">
    <w:name w:val="ListLabel 94"/>
    <w:qFormat/>
    <w:rPr>
      <w:position w:val="0"/>
      <w:sz w:val="22"/>
      <w:vertAlign w:val="baseline"/>
    </w:rPr>
  </w:style>
  <w:style w:type="character" w:customStyle="1" w:styleId="ListLabel95">
    <w:name w:val="ListLabel 95"/>
    <w:qFormat/>
    <w:rPr>
      <w:position w:val="0"/>
      <w:sz w:val="22"/>
      <w:vertAlign w:val="baseline"/>
    </w:rPr>
  </w:style>
  <w:style w:type="character" w:customStyle="1" w:styleId="ListLabel96">
    <w:name w:val="ListLabel 96"/>
    <w:qFormat/>
    <w:rPr>
      <w:position w:val="0"/>
      <w:sz w:val="22"/>
      <w:vertAlign w:val="baseline"/>
    </w:rPr>
  </w:style>
  <w:style w:type="character" w:customStyle="1" w:styleId="ListLabel97">
    <w:name w:val="ListLabel 97"/>
    <w:qFormat/>
    <w:rPr>
      <w:position w:val="0"/>
      <w:sz w:val="22"/>
      <w:vertAlign w:val="baseline"/>
    </w:rPr>
  </w:style>
  <w:style w:type="character" w:customStyle="1" w:styleId="ListLabel98">
    <w:name w:val="ListLabel 98"/>
    <w:qFormat/>
    <w:rPr>
      <w:position w:val="0"/>
      <w:sz w:val="22"/>
      <w:vertAlign w:val="baseline"/>
    </w:rPr>
  </w:style>
  <w:style w:type="character" w:customStyle="1" w:styleId="ListLabel99">
    <w:name w:val="ListLabel 99"/>
    <w:qFormat/>
    <w:rPr>
      <w:position w:val="0"/>
      <w:sz w:val="22"/>
      <w:vertAlign w:val="baseline"/>
    </w:rPr>
  </w:style>
  <w:style w:type="character" w:customStyle="1" w:styleId="ListLabel100">
    <w:name w:val="ListLabel 100"/>
    <w:qFormat/>
    <w:rPr>
      <w:rFonts w:ascii="Times New Roman" w:hAnsi="Times New Roman" w:cs="Wingdings"/>
      <w:sz w:val="24"/>
      <w:u w:val="none"/>
    </w:rPr>
  </w:style>
  <w:style w:type="character" w:customStyle="1" w:styleId="ListLabel101">
    <w:name w:val="ListLabel 101"/>
    <w:qFormat/>
    <w:rPr>
      <w:rFonts w:cs="Wingdings 2"/>
      <w:u w:val="none"/>
    </w:rPr>
  </w:style>
  <w:style w:type="character" w:customStyle="1" w:styleId="ListLabel102">
    <w:name w:val="ListLabel 102"/>
    <w:qFormat/>
    <w:rPr>
      <w:rFonts w:cs="OpenSymbol"/>
      <w:u w:val="none"/>
    </w:rPr>
  </w:style>
  <w:style w:type="character" w:customStyle="1" w:styleId="ListLabel103">
    <w:name w:val="ListLabel 103"/>
    <w:qFormat/>
    <w:rPr>
      <w:rFonts w:cs="Wingdings"/>
      <w:u w:val="none"/>
    </w:rPr>
  </w:style>
  <w:style w:type="character" w:customStyle="1" w:styleId="ListLabel104">
    <w:name w:val="ListLabel 104"/>
    <w:qFormat/>
    <w:rPr>
      <w:rFonts w:cs="Wingdings 2"/>
      <w:u w:val="none"/>
    </w:rPr>
  </w:style>
  <w:style w:type="character" w:customStyle="1" w:styleId="ListLabel105">
    <w:name w:val="ListLabel 105"/>
    <w:qFormat/>
    <w:rPr>
      <w:rFonts w:cs="OpenSymbol"/>
      <w:u w:val="none"/>
    </w:rPr>
  </w:style>
  <w:style w:type="character" w:customStyle="1" w:styleId="ListLabel106">
    <w:name w:val="ListLabel 106"/>
    <w:qFormat/>
    <w:rPr>
      <w:rFonts w:cs="Wingdings"/>
      <w:u w:val="none"/>
    </w:rPr>
  </w:style>
  <w:style w:type="character" w:customStyle="1" w:styleId="ListLabel107">
    <w:name w:val="ListLabel 107"/>
    <w:qFormat/>
    <w:rPr>
      <w:rFonts w:cs="Wingdings 2"/>
      <w:u w:val="none"/>
    </w:rPr>
  </w:style>
  <w:style w:type="character" w:customStyle="1" w:styleId="ListLabel108">
    <w:name w:val="ListLabel 108"/>
    <w:qFormat/>
    <w:rPr>
      <w:rFonts w:cs="OpenSymbol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ac">
    <w:name w:val="Title"/>
    <w:basedOn w:val="a"/>
    <w:next w:val="a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customStyle="1" w:styleId="11">
    <w:name w:val="Без интервала1"/>
    <w:qFormat/>
    <w:pPr>
      <w:suppressAutoHyphens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d">
    <w:name w:val="No Spacing"/>
    <w:uiPriority w:val="99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  <w:sz w:val="22"/>
      <w:lang w:eastAsia="uk-UA"/>
    </w:rPr>
  </w:style>
  <w:style w:type="paragraph" w:customStyle="1" w:styleId="21">
    <w:name w:val="Абзац списка;Список уровня 2"/>
    <w:basedOn w:val="a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Обычный1"/>
    <w:qFormat/>
    <w:pPr>
      <w:suppressAutoHyphens/>
      <w:spacing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sz w:val="22"/>
    </w:rPr>
  </w:style>
  <w:style w:type="paragraph" w:styleId="af">
    <w:name w:val="Subtitle"/>
    <w:basedOn w:val="LO-normal"/>
    <w:next w:val="a"/>
    <w:qFormat/>
    <w:pPr>
      <w:keepNext/>
      <w:keepLines/>
      <w:spacing w:before="360" w:after="80" w:line="259" w:lineRule="auto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06C79"/>
    <w:pPr>
      <w:suppressAutoHyphens w:val="0"/>
      <w:spacing w:before="100" w:beforeAutospacing="1" w:after="100" w:afterAutospacing="1" w:line="240" w:lineRule="auto"/>
      <w:ind w:left="0" w:firstLine="0"/>
      <w:textAlignment w:val="auto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a+CoMlrLQ/yCEjkmBTEnH9F8jyA==">AMUW2mWOhrIJR//DgofExZIViDDLTovBtILaeYo2hzvLDUKvQltgfgDs4WXiifnTaQFSOicrmQ0MpycP++JzbaDcZ9pqAlxib3SHy5qpkHLvaByX/nqQyz+5bn1Cd5r+KCs1VIzrpret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2778</Words>
  <Characters>1585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User</cp:lastModifiedBy>
  <cp:revision>2</cp:revision>
  <dcterms:created xsi:type="dcterms:W3CDTF">2025-12-02T08:32:00Z</dcterms:created>
  <dcterms:modified xsi:type="dcterms:W3CDTF">2025-12-02T08:32:00Z</dcterms:modified>
  <dc:language>uk-UA</dc:language>
</cp:coreProperties>
</file>