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3CC17D41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</w:t>
      </w:r>
      <w:r w:rsidR="00790185">
        <w:rPr>
          <w:rFonts w:eastAsia="Calibri"/>
          <w:b w:val="0"/>
          <w:sz w:val="24"/>
          <w:szCs w:val="24"/>
        </w:rPr>
        <w:t xml:space="preserve"> </w:t>
      </w:r>
      <w:r w:rsidR="00FD1FCD">
        <w:rPr>
          <w:rFonts w:eastAsia="Calibri"/>
          <w:b w:val="0"/>
          <w:sz w:val="24"/>
          <w:szCs w:val="24"/>
        </w:rPr>
        <w:t>працівників структурних підрозділів ЦПМУ ДМС необхідним для роботи обладнання та матеріально-технічною базою, і замінити несправне та морально застаріле офісне устаткування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FD1FCD">
        <w:rPr>
          <w:rFonts w:eastAsia="Calibri"/>
          <w:sz w:val="24"/>
          <w:szCs w:val="24"/>
        </w:rPr>
        <w:t>офісних крісел для заміни несправних дозволить уникнути травматизм</w:t>
      </w:r>
      <w:r w:rsidR="00733C71">
        <w:rPr>
          <w:rFonts w:eastAsia="Calibri"/>
          <w:sz w:val="24"/>
          <w:szCs w:val="24"/>
        </w:rPr>
        <w:t>у</w:t>
      </w:r>
      <w:r w:rsidR="00FD1FCD">
        <w:rPr>
          <w:rFonts w:eastAsia="Calibri"/>
          <w:sz w:val="24"/>
          <w:szCs w:val="24"/>
        </w:rPr>
        <w:t xml:space="preserve"> співробітників на робочому місці та забезпечити належне виконання покладених на посадових осіб обов’язків та завдань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5E41DE72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r w:rsidR="00FD1FCD" w:rsidRPr="00FD1F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UA-2025-11-27-005269-a</w:t>
      </w:r>
      <w:bookmarkEnd w:id="0"/>
    </w:p>
    <w:p w14:paraId="08CB37B6" w14:textId="49F3A279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FD1FCD" w:rsidRPr="00FD1FCD">
        <w:rPr>
          <w:rFonts w:eastAsia="Calibri"/>
          <w:sz w:val="24"/>
          <w:szCs w:val="24"/>
        </w:rPr>
        <w:t>код ДК 021:2015 - 39110000-6 Сидіння, стільці та супутні вироби і частини до них (Крісла офісні)</w:t>
      </w:r>
    </w:p>
    <w:p w14:paraId="3B915ABF" w14:textId="7A3E2294" w:rsidR="00957309" w:rsidRPr="00957309" w:rsidRDefault="00E0510C" w:rsidP="00957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FCD">
        <w:rPr>
          <w:rFonts w:ascii="Times New Roman" w:hAnsi="Times New Roman" w:cs="Times New Roman"/>
          <w:sz w:val="24"/>
          <w:szCs w:val="24"/>
        </w:rPr>
        <w:t>75</w:t>
      </w:r>
      <w:r w:rsidR="004921C1">
        <w:rPr>
          <w:rFonts w:ascii="Times New Roman" w:hAnsi="Times New Roman" w:cs="Times New Roman"/>
          <w:sz w:val="24"/>
          <w:szCs w:val="24"/>
        </w:rPr>
        <w:t xml:space="preserve"> 000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FD1FCD">
        <w:rPr>
          <w:rFonts w:ascii="Times New Roman" w:hAnsi="Times New Roman" w:cs="Times New Roman"/>
          <w:sz w:val="24"/>
          <w:szCs w:val="24"/>
        </w:rPr>
        <w:t>Сімдесят п’ять</w:t>
      </w:r>
      <w:r w:rsidR="004921C1">
        <w:rPr>
          <w:rFonts w:ascii="Times New Roman" w:hAnsi="Times New Roman" w:cs="Times New Roman"/>
          <w:sz w:val="24"/>
          <w:szCs w:val="24"/>
        </w:rPr>
        <w:t xml:space="preserve"> тисяч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FD1FCD" w:rsidRPr="00FD1FCD">
        <w:rPr>
          <w:rFonts w:ascii="Times New Roman" w:hAnsi="Times New Roman" w:cs="Times New Roman"/>
          <w:sz w:val="24"/>
          <w:szCs w:val="24"/>
        </w:rPr>
        <w:t xml:space="preserve">Орієнтовна вартість розрахована відповідно до очікуваних обсягів закупівлі та орієнтовних цін за одиницю Товару, при здійсненні </w:t>
      </w:r>
      <w:proofErr w:type="spellStart"/>
      <w:r w:rsidR="00FD1FCD" w:rsidRPr="00FD1FC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FD1FCD" w:rsidRPr="00FD1FCD">
        <w:rPr>
          <w:rFonts w:ascii="Times New Roman" w:hAnsi="Times New Roman" w:cs="Times New Roman"/>
          <w:sz w:val="24"/>
          <w:szCs w:val="24"/>
        </w:rPr>
        <w:t xml:space="preserve"> за допомогою запиту (ціни) про</w:t>
      </w:r>
      <w:r w:rsidR="00FD1FCD">
        <w:rPr>
          <w:rFonts w:ascii="Times New Roman" w:hAnsi="Times New Roman" w:cs="Times New Roman"/>
          <w:sz w:val="24"/>
          <w:szCs w:val="24"/>
        </w:rPr>
        <w:t>позиції за жовтень 2025</w:t>
      </w:r>
      <w:r w:rsidR="00FD1FCD" w:rsidRPr="00FD1FCD">
        <w:rPr>
          <w:rFonts w:ascii="Times New Roman" w:hAnsi="Times New Roman" w:cs="Times New Roman"/>
          <w:sz w:val="24"/>
          <w:szCs w:val="24"/>
        </w:rPr>
        <w:t xml:space="preserve"> року замовниками органів державної влади та місцевого самоврядування, розміщених на сайті «</w:t>
      </w:r>
      <w:proofErr w:type="spellStart"/>
      <w:r w:rsidR="00FD1FCD" w:rsidRPr="00FD1FCD">
        <w:rPr>
          <w:rFonts w:ascii="Times New Roman" w:hAnsi="Times New Roman" w:cs="Times New Roman"/>
          <w:sz w:val="24"/>
          <w:szCs w:val="24"/>
        </w:rPr>
        <w:t>Бі-прозорро</w:t>
      </w:r>
      <w:proofErr w:type="spellEnd"/>
      <w:r w:rsidR="00FD1FCD" w:rsidRPr="00FD1FCD">
        <w:rPr>
          <w:rFonts w:ascii="Times New Roman" w:hAnsi="Times New Roman" w:cs="Times New Roman"/>
          <w:sz w:val="24"/>
          <w:szCs w:val="24"/>
        </w:rPr>
        <w:t>» за поси</w:t>
      </w:r>
      <w:r w:rsidR="00733C71">
        <w:rPr>
          <w:rFonts w:ascii="Times New Roman" w:hAnsi="Times New Roman" w:cs="Times New Roman"/>
          <w:sz w:val="24"/>
          <w:szCs w:val="24"/>
        </w:rPr>
        <w:t>ланням https: bi.prozorro.org</w:t>
      </w:r>
      <w:r w:rsidR="00FD1FCD" w:rsidRPr="00FD1FCD">
        <w:rPr>
          <w:rFonts w:ascii="Times New Roman" w:hAnsi="Times New Roman" w:cs="Times New Roman"/>
          <w:sz w:val="24"/>
          <w:szCs w:val="24"/>
        </w:rPr>
        <w:t xml:space="preserve"> </w:t>
      </w:r>
      <w:r w:rsidR="00733C71">
        <w:rPr>
          <w:rFonts w:ascii="Times New Roman" w:hAnsi="Times New Roman" w:cs="Times New Roman"/>
          <w:sz w:val="24"/>
          <w:szCs w:val="24"/>
        </w:rPr>
        <w:t>та вказаними технічними характеристиками та враховуючи положення Постанову КМУ від 04.04.2001 № 332 «</w:t>
      </w:r>
      <w:r w:rsidR="00733C71" w:rsidRPr="00733C71">
        <w:rPr>
          <w:rFonts w:ascii="Times New Roman" w:hAnsi="Times New Roman" w:cs="Times New Roman"/>
          <w:sz w:val="24"/>
          <w:szCs w:val="24"/>
        </w:rPr>
        <w:t>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</w:t>
      </w:r>
      <w:r w:rsidR="00733C71">
        <w:rPr>
          <w:rFonts w:ascii="Times New Roman" w:hAnsi="Times New Roman" w:cs="Times New Roman"/>
          <w:sz w:val="24"/>
          <w:szCs w:val="24"/>
        </w:rPr>
        <w:t>» (зі змінами) та абзац 2 пункту 12 Постанови КМУ від 12.10.2022 № 1178 «</w:t>
      </w:r>
      <w:r w:rsidR="00733C71" w:rsidRPr="00733C71">
        <w:rPr>
          <w:rFonts w:ascii="Times New Roman" w:hAnsi="Times New Roman" w:cs="Times New Roman"/>
          <w:sz w:val="24"/>
          <w:szCs w:val="24"/>
        </w:rPr>
        <w:t xml:space="preserve">Про затвердження особливостей здійснення публічних </w:t>
      </w:r>
      <w:proofErr w:type="spellStart"/>
      <w:r w:rsidR="00733C71" w:rsidRPr="00733C71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733C71" w:rsidRPr="00733C71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733C71">
        <w:rPr>
          <w:rFonts w:ascii="Times New Roman" w:hAnsi="Times New Roman" w:cs="Times New Roman"/>
          <w:sz w:val="24"/>
          <w:szCs w:val="24"/>
        </w:rPr>
        <w:t xml:space="preserve">» </w:t>
      </w:r>
      <w:r w:rsidR="00FD1FCD" w:rsidRPr="00FD1FCD">
        <w:rPr>
          <w:rFonts w:ascii="Times New Roman" w:hAnsi="Times New Roman" w:cs="Times New Roman"/>
          <w:sz w:val="24"/>
          <w:szCs w:val="24"/>
        </w:rPr>
        <w:t>, а саме:</w:t>
      </w:r>
      <w:r w:rsidR="00733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660D7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профіль</w:t>
      </w:r>
      <w:proofErr w:type="spellEnd"/>
    </w:p>
    <w:p w14:paraId="12EE061A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Крісла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офісні</w:t>
      </w:r>
      <w:proofErr w:type="spellEnd"/>
    </w:p>
    <w:p w14:paraId="506CDFCC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 ДК 021:2015</w:t>
      </w:r>
    </w:p>
    <w:p w14:paraId="7BD27277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39110000-6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Сидіння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стільці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супутні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вироби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733C71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733C71">
        <w:rPr>
          <w:rFonts w:ascii="Times New Roman" w:hAnsi="Times New Roman" w:cs="Times New Roman"/>
          <w:sz w:val="24"/>
          <w:szCs w:val="24"/>
          <w:lang w:val="ru-RU"/>
        </w:rPr>
        <w:t xml:space="preserve"> до них</w:t>
      </w:r>
    </w:p>
    <w:p w14:paraId="537E4BDF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Підтверджується</w:t>
      </w:r>
      <w:proofErr w:type="spellEnd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733C71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4964"/>
      </w:tblGrid>
      <w:tr w:rsidR="00733C71" w:rsidRPr="00733C71" w14:paraId="27729C52" w14:textId="77777777" w:rsidTr="00733C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1819B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Pr="00733C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5D7C0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</w:tr>
      <w:tr w:rsidR="00733C71" w:rsidRPr="00733C71" w14:paraId="673746B4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E3B8C6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346C9B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INTARSIO</w:t>
            </w:r>
          </w:p>
        </w:tc>
      </w:tr>
      <w:tr w:rsidR="00733C71" w:rsidRPr="00733C71" w14:paraId="48A202CB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EA063C5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Основний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корпусу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206A7C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</w:t>
            </w:r>
          </w:p>
        </w:tc>
      </w:tr>
      <w:tr w:rsidR="00733C71" w:rsidRPr="00733C71" w14:paraId="656CFC46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A520762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7F1E1B8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хрестовина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роликами</w:t>
            </w:r>
          </w:p>
        </w:tc>
      </w:tr>
      <w:tr w:rsidR="00733C71" w:rsidRPr="00733C71" w14:paraId="5A76E924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116FE9F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Гойдання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A32D08A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733C71" w:rsidRPr="00733C71" w14:paraId="06266CBD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DAEDF6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висоти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E7AEB6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733C71" w:rsidRPr="00733C71" w14:paraId="27A28F07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26425D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підлокітників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5CCA9FF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733C71" w:rsidRPr="00733C71" w14:paraId="7855AC20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255CEE5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оббивки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EEE861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екошкіра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шкірозамінник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сітка</w:t>
            </w:r>
            <w:proofErr w:type="spellEnd"/>
          </w:p>
        </w:tc>
      </w:tr>
      <w:tr w:rsidR="00733C71" w:rsidRPr="00733C71" w14:paraId="3D2995D4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9B92E21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оббивки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сидіння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2B6E0C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тканина, тканина (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мікрофібра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33C71" w:rsidRPr="00733C71" w14:paraId="13B77F5D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65CD30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висоти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сидіння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7DAF35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  <w:tr w:rsidR="00733C71" w:rsidRPr="00733C71" w14:paraId="4EAE55FD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9DD70D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Висота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спинки у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верхньому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F4FAD0C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620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міліметр</w:t>
            </w:r>
            <w:proofErr w:type="spellEnd"/>
          </w:p>
        </w:tc>
      </w:tr>
      <w:tr w:rsidR="00733C71" w:rsidRPr="00733C71" w14:paraId="77414E5A" w14:textId="77777777" w:rsidTr="00733C71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25ABD5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Висота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сидіння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верхньому</w:t>
            </w:r>
            <w:proofErr w:type="spellEnd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положенні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3DCF29" w14:textId="77777777" w:rsidR="00733C71" w:rsidRPr="00733C71" w:rsidRDefault="00733C71" w:rsidP="00733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550 </w:t>
            </w:r>
            <w:proofErr w:type="spellStart"/>
            <w:r w:rsidRPr="00733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міліметр</w:t>
            </w:r>
            <w:proofErr w:type="spellEnd"/>
          </w:p>
        </w:tc>
      </w:tr>
    </w:tbl>
    <w:p w14:paraId="69AE18CF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торгівлі та сільського господарства 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56FAA3DA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686CB630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2D964108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 xml:space="preserve">   З метою отримання інформації про ціну на зазначені послуги був застосований такий спосіб, як аналіз цінових пропозицій за раніше надані послуги та аналіз очікуваної вартості на зазначені послуги в інших областях України.</w:t>
      </w:r>
    </w:p>
    <w:p w14:paraId="78499177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395E7FF6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>) / К,   де:</w:t>
      </w:r>
    </w:p>
    <w:p w14:paraId="795FD269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>де:</w:t>
      </w:r>
      <w:r w:rsidRPr="00733C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6C180260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701FFD01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lastRenderedPageBreak/>
        <w:tab/>
        <w:t>К</w:t>
      </w:r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кількість цін, отриманих з відкритих джерел інформації.</w:t>
      </w:r>
    </w:p>
    <w:p w14:paraId="163A115E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>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4CB8FC51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3C71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FB49FF7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7F69C030" w14:textId="77777777" w:rsidR="00733C71" w:rsidRPr="00733C71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3C71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782963FA" w14:textId="4A52D750" w:rsidR="005568EF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71">
        <w:rPr>
          <w:rFonts w:ascii="Times New Roman" w:hAnsi="Times New Roman" w:cs="Times New Roman"/>
          <w:sz w:val="24"/>
          <w:szCs w:val="24"/>
        </w:rPr>
        <w:tab/>
        <w:t>V</w:t>
      </w:r>
      <w:r w:rsidRPr="00733C71">
        <w:rPr>
          <w:rFonts w:ascii="Times New Roman" w:hAnsi="Times New Roman" w:cs="Times New Roman"/>
          <w:sz w:val="24"/>
          <w:szCs w:val="24"/>
        </w:rPr>
        <w:tab/>
        <w:t>-</w:t>
      </w:r>
      <w:r w:rsidRPr="00733C71">
        <w:rPr>
          <w:rFonts w:ascii="Times New Roman" w:hAnsi="Times New Roman" w:cs="Times New Roman"/>
          <w:sz w:val="24"/>
          <w:szCs w:val="24"/>
        </w:rPr>
        <w:tab/>
        <w:t>кількість (обсяг) товару/послуги, що закуповується.</w:t>
      </w:r>
    </w:p>
    <w:p w14:paraId="671AEDC7" w14:textId="77777777" w:rsidR="00733C71" w:rsidRPr="006E1208" w:rsidRDefault="00733C71" w:rsidP="00733C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3C71" w:rsidRPr="006E1208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1C1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3C71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309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BDD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1FCD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1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7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4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2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57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4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71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A552-8663-47A4-93F1-7E5D1382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2025-11-27T12:28:00Z</dcterms:created>
  <dcterms:modified xsi:type="dcterms:W3CDTF">2025-11-27T12:28:00Z</dcterms:modified>
</cp:coreProperties>
</file>