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ОБҐРУНТУВАННЯ</w:t>
      </w: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технічних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якісних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характеристик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закупівлі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відкриті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торги з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особливостями</w:t>
      </w:r>
      <w:proofErr w:type="spellEnd"/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CA1CDA" w:rsidRDefault="008F5752" w:rsidP="00CA1CDA">
      <w:pPr>
        <w:spacing w:after="0"/>
        <w:ind w:firstLine="709"/>
        <w:jc w:val="center"/>
        <w:rPr>
          <w:b/>
          <w:szCs w:val="28"/>
          <w:lang w:val="uk-UA"/>
        </w:rPr>
      </w:pPr>
      <w:r w:rsidRPr="008F5752">
        <w:rPr>
          <w:b/>
          <w:szCs w:val="28"/>
          <w:lang w:val="uk-UA"/>
        </w:rPr>
        <w:t>ДК 021:2015: 79710000-4 «Охоронні послуги» (Послуги з моніторингу сигналів тривоги, що надходять з пристроїв охоронної сигналізації та послуги з фізичної охорони об’єкту)</w:t>
      </w: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</w:pPr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оприлюднюється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постанови КМУ № 710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11.10.2016 «Про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ефективне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використання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державних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коштів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» (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зі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змінами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))</w:t>
      </w: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r w:rsidRPr="00F429B0">
        <w:rPr>
          <w:rFonts w:ascii="ProbaPro" w:hAnsi="ProbaPro"/>
          <w:color w:val="000000"/>
          <w:sz w:val="28"/>
          <w:szCs w:val="28"/>
          <w:lang w:val="uk-UA"/>
        </w:rPr>
        <w:t xml:space="preserve">Головне управління Державної міграційної служби України у Львівській області; Категорія - підприємства, установи, організації, зазначені у пункті 1 частини першої статті 2 Закону; місцезнаходження - 79007, Україна, Львівська область, місто Львів, </w:t>
      </w:r>
      <w:r w:rsidRPr="00F429B0">
        <w:rPr>
          <w:rFonts w:ascii="ProbaPro" w:hAnsi="ProbaPro" w:hint="eastAsia"/>
          <w:color w:val="000000"/>
          <w:sz w:val="28"/>
          <w:szCs w:val="28"/>
          <w:lang w:val="uk-UA"/>
        </w:rPr>
        <w:t>вул.</w:t>
      </w:r>
      <w:r w:rsidRPr="00F429B0">
        <w:rPr>
          <w:rFonts w:ascii="ProbaPro" w:hAnsi="ProbaPro"/>
          <w:color w:val="000000"/>
          <w:sz w:val="28"/>
          <w:szCs w:val="28"/>
          <w:lang w:val="uk-UA"/>
        </w:rPr>
        <w:t xml:space="preserve"> Січових Стрільців,11; ідентифікаційний код замовника в Єдиному державному реєстрі юридичних осіб – 37831493.</w:t>
      </w:r>
    </w:p>
    <w:p w:rsidR="00CA1CDA" w:rsidRPr="00F429B0" w:rsidRDefault="00CA1CDA" w:rsidP="00CA1CDA">
      <w:pPr>
        <w:spacing w:after="0"/>
        <w:ind w:firstLine="709"/>
        <w:jc w:val="center"/>
        <w:rPr>
          <w:rFonts w:ascii="ProbaPro" w:eastAsia="Times New Roman" w:hAnsi="ProbaPro" w:cs="Times New Roman"/>
          <w:color w:val="000000"/>
          <w:szCs w:val="28"/>
          <w:lang w:val="uk-UA" w:eastAsia="ru-RU"/>
        </w:rPr>
      </w:pPr>
    </w:p>
    <w:p w:rsidR="008F5752" w:rsidRDefault="00CA1CDA" w:rsidP="00CA1CDA">
      <w:pPr>
        <w:spacing w:after="0"/>
        <w:jc w:val="both"/>
        <w:rPr>
          <w:szCs w:val="28"/>
          <w:lang w:val="uk-UA"/>
        </w:rPr>
      </w:pPr>
      <w:r w:rsidRPr="00F429B0">
        <w:rPr>
          <w:b/>
          <w:szCs w:val="28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429B0">
        <w:rPr>
          <w:szCs w:val="28"/>
          <w:lang w:val="uk-UA"/>
        </w:rPr>
        <w:t xml:space="preserve"> </w:t>
      </w:r>
      <w:r w:rsidR="008F5752" w:rsidRPr="008F5752">
        <w:rPr>
          <w:szCs w:val="28"/>
          <w:lang w:val="uk-UA"/>
        </w:rPr>
        <w:t>ДК 021:2015: 79710000-4 «Охоронні послуги» (Послуги з моніторингу сигналів тривоги, що надходять з пристроїв охоронної сигналізації та послуги з фізичної охорони об’єкту)</w:t>
      </w:r>
      <w:r w:rsidRPr="00F429B0">
        <w:rPr>
          <w:szCs w:val="28"/>
          <w:lang w:val="uk-UA"/>
        </w:rPr>
        <w:t>, в кількості</w:t>
      </w:r>
      <w:r w:rsidR="008F5752">
        <w:rPr>
          <w:szCs w:val="28"/>
          <w:lang w:val="uk-UA"/>
        </w:rPr>
        <w:t>:</w:t>
      </w:r>
    </w:p>
    <w:p w:rsidR="00CA1CDA" w:rsidRPr="008F5752" w:rsidRDefault="008F5752" w:rsidP="008F5752">
      <w:pPr>
        <w:pStyle w:val="aa"/>
        <w:numPr>
          <w:ilvl w:val="0"/>
          <w:numId w:val="8"/>
        </w:numPr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 w:rsidRPr="008F5752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Послуги з моніторингу сигналів тривоги, що надходять з пристроїв охоронної сигналізації -1 послуга;</w:t>
      </w:r>
    </w:p>
    <w:p w:rsidR="008F5752" w:rsidRPr="008F5752" w:rsidRDefault="008F5752" w:rsidP="008F5752">
      <w:pPr>
        <w:pStyle w:val="aa"/>
        <w:numPr>
          <w:ilvl w:val="0"/>
          <w:numId w:val="8"/>
        </w:numPr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 w:rsidRPr="008F5752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Послуги з фізичної охорони об’єкту – 1 послуга</w:t>
      </w:r>
      <w:r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.</w:t>
      </w:r>
    </w:p>
    <w:p w:rsidR="00CA1CDA" w:rsidRPr="00F429B0" w:rsidRDefault="00CA1CDA" w:rsidP="00CA1CDA">
      <w:pPr>
        <w:spacing w:after="0"/>
        <w:jc w:val="both"/>
        <w:rPr>
          <w:szCs w:val="28"/>
          <w:lang w:val="uk-UA"/>
        </w:rPr>
      </w:pPr>
    </w:p>
    <w:p w:rsidR="00CA1CDA" w:rsidRPr="00F429B0" w:rsidRDefault="00CA1CDA" w:rsidP="00CA1CDA">
      <w:pPr>
        <w:spacing w:after="0"/>
        <w:jc w:val="both"/>
        <w:rPr>
          <w:szCs w:val="28"/>
          <w:lang w:val="uk-UA"/>
        </w:rPr>
      </w:pPr>
      <w:r w:rsidRPr="00F429B0">
        <w:rPr>
          <w:b/>
          <w:szCs w:val="28"/>
          <w:lang w:val="uk-UA"/>
        </w:rPr>
        <w:t>Вид та ідентифікатор процедури закупівлі</w:t>
      </w:r>
      <w:r w:rsidRPr="00F429B0">
        <w:rPr>
          <w:szCs w:val="28"/>
          <w:lang w:val="uk-UA"/>
        </w:rPr>
        <w:t>: Відкриті торги з особливостями (</w:t>
      </w:r>
      <w:r w:rsidR="008F5752" w:rsidRPr="008F5752">
        <w:rPr>
          <w:szCs w:val="28"/>
          <w:lang w:val="uk-UA"/>
        </w:rPr>
        <w:t>UA-2025-01-24-007088-a</w:t>
      </w:r>
      <w:r w:rsidRPr="00F429B0">
        <w:rPr>
          <w:szCs w:val="28"/>
          <w:lang w:val="uk-UA"/>
        </w:rPr>
        <w:t>).</w:t>
      </w:r>
    </w:p>
    <w:p w:rsidR="00CA1CDA" w:rsidRPr="00F429B0" w:rsidRDefault="00CA1CDA" w:rsidP="00CA1CDA">
      <w:pPr>
        <w:spacing w:after="0"/>
        <w:jc w:val="both"/>
        <w:rPr>
          <w:szCs w:val="28"/>
          <w:lang w:val="uk-UA"/>
        </w:rPr>
      </w:pP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Розмір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бюджетного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призначення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:</w:t>
      </w:r>
      <w:r w:rsidRPr="00F429B0">
        <w:rPr>
          <w:rFonts w:ascii="ProbaPro" w:hAnsi="ProbaPro"/>
          <w:color w:val="000000"/>
          <w:sz w:val="28"/>
          <w:szCs w:val="28"/>
        </w:rPr>
        <w:t> 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сформований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урахуванням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обсягів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наявної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потреби у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послуг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за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рахунок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коштів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r w:rsidR="00296E21">
        <w:rPr>
          <w:rFonts w:ascii="ProbaPro" w:hAnsi="ProbaPro"/>
          <w:color w:val="000000"/>
          <w:sz w:val="28"/>
          <w:szCs w:val="28"/>
          <w:lang w:val="uk-UA"/>
        </w:rPr>
        <w:t>Д</w:t>
      </w:r>
      <w:bookmarkStart w:id="0" w:name="_GoBack"/>
      <w:bookmarkEnd w:id="0"/>
      <w:r w:rsidRPr="00F429B0">
        <w:rPr>
          <w:rFonts w:ascii="ProbaPro" w:hAnsi="ProbaPro"/>
          <w:color w:val="000000"/>
          <w:sz w:val="28"/>
          <w:szCs w:val="28"/>
        </w:rPr>
        <w:t>ержавного бюджету на 202</w:t>
      </w:r>
      <w:r w:rsidR="008F5752">
        <w:rPr>
          <w:rFonts w:ascii="ProbaPro" w:hAnsi="ProbaPro"/>
          <w:color w:val="000000"/>
          <w:sz w:val="28"/>
          <w:szCs w:val="28"/>
          <w:lang w:val="uk-UA"/>
        </w:rPr>
        <w:t>5</w:t>
      </w:r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рік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>.</w:t>
      </w: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Очікувана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вартість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обґрунтування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очікуваної</w:t>
      </w:r>
      <w:proofErr w:type="spellEnd"/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вартості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предмета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закупівлі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:</w:t>
      </w:r>
      <w:r w:rsidRPr="00F429B0">
        <w:rPr>
          <w:rFonts w:ascii="ProbaPro" w:hAnsi="ProbaPro"/>
          <w:color w:val="000000"/>
          <w:sz w:val="28"/>
          <w:szCs w:val="28"/>
        </w:rPr>
        <w:t> </w:t>
      </w:r>
      <w:r w:rsidR="008F5752" w:rsidRPr="008F5752">
        <w:rPr>
          <w:rFonts w:ascii="ProbaPro" w:hAnsi="ProbaPro"/>
          <w:color w:val="000000"/>
          <w:sz w:val="28"/>
          <w:szCs w:val="28"/>
          <w:lang w:val="uk-UA"/>
        </w:rPr>
        <w:t>1 184 266,67</w:t>
      </w:r>
      <w:r w:rsidR="008F5752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Pr="00F429B0">
        <w:rPr>
          <w:rFonts w:ascii="ProbaPro" w:hAnsi="ProbaPro"/>
          <w:color w:val="000000"/>
          <w:sz w:val="28"/>
          <w:szCs w:val="28"/>
          <w:lang w:val="uk-UA"/>
        </w:rPr>
        <w:t>грн.</w:t>
      </w: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F429B0">
        <w:rPr>
          <w:rFonts w:ascii="ProbaPro" w:hAnsi="ProbaPro"/>
          <w:color w:val="000000"/>
          <w:sz w:val="28"/>
          <w:szCs w:val="28"/>
          <w:lang w:val="uk-UA"/>
        </w:rPr>
        <w:t>Замовником здійснено розрахунок очікуваної вартості послуги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</w:t>
      </w:r>
      <w:r w:rsidRPr="00F429B0">
        <w:rPr>
          <w:rFonts w:ascii="ProbaPro" w:hAnsi="ProbaPro"/>
          <w:color w:val="000000"/>
          <w:sz w:val="28"/>
          <w:szCs w:val="28"/>
        </w:rPr>
        <w:t> </w:t>
      </w:r>
      <w:r w:rsidRPr="00F429B0">
        <w:rPr>
          <w:rFonts w:ascii="ProbaPro" w:hAnsi="ProbaPro"/>
          <w:color w:val="000000"/>
          <w:sz w:val="28"/>
          <w:szCs w:val="28"/>
          <w:lang w:val="uk-UA"/>
        </w:rPr>
        <w:t>торгівлі та сільського господарства України від 18.02.2020 № 275.</w:t>
      </w:r>
    </w:p>
    <w:p w:rsidR="002005E6" w:rsidRPr="00F429B0" w:rsidRDefault="00CA1CDA" w:rsidP="002005E6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Для визначення очікуваної вартості предмета закупівлі Замовником враховувались комерційні пропозиції </w:t>
      </w:r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підприємств та організацій, що надають відповідні послуги, а також шляхом </w:t>
      </w:r>
      <w:r w:rsidR="002005E6" w:rsidRPr="00F429B0">
        <w:rPr>
          <w:rFonts w:ascii="ProbaPro" w:hAnsi="ProbaPro"/>
          <w:color w:val="000000"/>
          <w:sz w:val="28"/>
          <w:szCs w:val="28"/>
          <w:lang w:val="uk-UA"/>
        </w:rPr>
        <w:t>моніторингу цін, шляхом пошуку, збору та аналізу загальнодоступної інформації про ціни, що містяться в мережі інтернет у відкритому доступі</w:t>
      </w:r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, в тому числі з врахуванням попередніх </w:t>
      </w:r>
      <w:proofErr w:type="spellStart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закупівель</w:t>
      </w:r>
      <w:proofErr w:type="spellEnd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та на сайтах виробників, в електронній системі </w:t>
      </w:r>
      <w:proofErr w:type="spellStart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закупівель</w:t>
      </w:r>
      <w:proofErr w:type="spellEnd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</w:rPr>
        <w:t>Prozorro</w:t>
      </w:r>
      <w:proofErr w:type="spellEnd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».   </w:t>
      </w:r>
    </w:p>
    <w:p w:rsidR="00CA1CDA" w:rsidRDefault="002005E6" w:rsidP="00CA1CD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Обґрунтування технічних, якісних характеристик.</w:t>
      </w:r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tbl>
      <w:tblPr>
        <w:tblW w:w="10864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8"/>
        <w:gridCol w:w="256"/>
      </w:tblGrid>
      <w:tr w:rsidR="008F5752" w:rsidRPr="008F5752" w:rsidTr="008F5752">
        <w:trPr>
          <w:trHeight w:val="1275"/>
        </w:trPr>
        <w:tc>
          <w:tcPr>
            <w:tcW w:w="10608" w:type="dxa"/>
            <w:vAlign w:val="center"/>
          </w:tcPr>
          <w:p w:rsidR="008F5752" w:rsidRPr="008F5752" w:rsidRDefault="008F5752" w:rsidP="008F5752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575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Послуги з фізичної охорони:</w:t>
            </w:r>
          </w:p>
          <w:p w:rsidR="008F5752" w:rsidRPr="008F5752" w:rsidRDefault="008F5752" w:rsidP="008F575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8F5752" w:rsidRPr="008F5752" w:rsidRDefault="008F5752" w:rsidP="008F5752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Місце та термін надання послуг фізичної охорони: __ГУ ДМС України у Львівській області _   </w:t>
            </w:r>
          </w:p>
          <w:p w:rsidR="008F5752" w:rsidRPr="008F5752" w:rsidRDefault="008F5752" w:rsidP="008F5752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Львівська область, м. Львів, вул. Січових Стрільців, 11, 79007__</w:t>
            </w:r>
          </w:p>
          <w:p w:rsidR="008F5752" w:rsidRPr="008F5752" w:rsidRDefault="008F5752" w:rsidP="008F5752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Таблиця 1</w:t>
            </w:r>
          </w:p>
          <w:p w:rsidR="008F5752" w:rsidRPr="008F5752" w:rsidRDefault="008F5752" w:rsidP="008F5752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W w:w="10206" w:type="dxa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356"/>
              <w:gridCol w:w="2314"/>
              <w:gridCol w:w="1985"/>
              <w:gridCol w:w="1842"/>
            </w:tblGrid>
            <w:tr w:rsidR="008F5752" w:rsidRPr="008F5752" w:rsidTr="008463FD">
              <w:tc>
                <w:tcPr>
                  <w:tcW w:w="709" w:type="dxa"/>
                  <w:shd w:val="clear" w:color="auto" w:fill="auto"/>
                  <w:vAlign w:val="center"/>
                </w:tcPr>
                <w:p w:rsidR="008F5752" w:rsidRPr="008F5752" w:rsidRDefault="008F5752" w:rsidP="008F5752">
                  <w:pPr>
                    <w:spacing w:after="0" w:line="259" w:lineRule="auto"/>
                    <w:contextualSpacing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  <w:t>№ п/п</w:t>
                  </w:r>
                </w:p>
              </w:tc>
              <w:tc>
                <w:tcPr>
                  <w:tcW w:w="3356" w:type="dxa"/>
                  <w:shd w:val="clear" w:color="auto" w:fill="auto"/>
                  <w:vAlign w:val="center"/>
                </w:tcPr>
                <w:p w:rsidR="008F5752" w:rsidRPr="008F5752" w:rsidRDefault="008F5752" w:rsidP="008F5752">
                  <w:pPr>
                    <w:spacing w:after="0" w:line="259" w:lineRule="auto"/>
                    <w:contextualSpacing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  <w:t>Місцезнаходження об’єкта</w:t>
                  </w:r>
                </w:p>
              </w:tc>
              <w:tc>
                <w:tcPr>
                  <w:tcW w:w="2314" w:type="dxa"/>
                  <w:shd w:val="clear" w:color="auto" w:fill="auto"/>
                  <w:vAlign w:val="center"/>
                </w:tcPr>
                <w:p w:rsidR="008F5752" w:rsidRPr="008F5752" w:rsidRDefault="008F5752" w:rsidP="008F5752">
                  <w:pPr>
                    <w:spacing w:after="0" w:line="259" w:lineRule="auto"/>
                    <w:contextualSpacing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  <w:t>Кількість годин охорони на добу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8F5752" w:rsidRPr="008F5752" w:rsidRDefault="008F5752" w:rsidP="008F5752">
                  <w:pPr>
                    <w:spacing w:after="0" w:line="259" w:lineRule="auto"/>
                    <w:contextualSpacing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  <w:t>Тривалість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8F5752" w:rsidRPr="008F5752" w:rsidRDefault="008F5752" w:rsidP="008F5752">
                  <w:pPr>
                    <w:spacing w:after="0" w:line="259" w:lineRule="auto"/>
                    <w:contextualSpacing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  <w:t>Термін</w:t>
                  </w:r>
                </w:p>
              </w:tc>
            </w:tr>
            <w:tr w:rsidR="008F5752" w:rsidRPr="008F5752" w:rsidTr="008463FD">
              <w:trPr>
                <w:trHeight w:val="399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8F5752" w:rsidRPr="008F5752" w:rsidRDefault="008F5752" w:rsidP="008F5752">
                  <w:pPr>
                    <w:spacing w:after="0" w:line="259" w:lineRule="auto"/>
                    <w:contextualSpacing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3356" w:type="dxa"/>
                  <w:shd w:val="clear" w:color="auto" w:fill="auto"/>
                </w:tcPr>
                <w:p w:rsidR="008F5752" w:rsidRPr="008F5752" w:rsidRDefault="008F5752" w:rsidP="008F5752">
                  <w:pPr>
                    <w:spacing w:after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  <w:t>м. Львів, вул. Січових Стрільців, 11, 79007</w:t>
                  </w:r>
                </w:p>
              </w:tc>
              <w:tc>
                <w:tcPr>
                  <w:tcW w:w="2314" w:type="dxa"/>
                  <w:shd w:val="clear" w:color="auto" w:fill="auto"/>
                  <w:vAlign w:val="center"/>
                </w:tcPr>
                <w:p w:rsidR="008F5752" w:rsidRPr="008F5752" w:rsidRDefault="008F5752" w:rsidP="008F5752">
                  <w:pPr>
                    <w:spacing w:after="0" w:line="259" w:lineRule="auto"/>
                    <w:contextualSpacing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  <w:t>24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8F5752" w:rsidRPr="008F5752" w:rsidRDefault="008F5752" w:rsidP="008F5752">
                  <w:pPr>
                    <w:spacing w:after="0" w:line="259" w:lineRule="auto"/>
                    <w:contextualSpacing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  <w:t>щодня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8F5752" w:rsidRPr="008F5752" w:rsidRDefault="008F5752" w:rsidP="008F5752">
                  <w:pPr>
                    <w:spacing w:after="0" w:line="259" w:lineRule="auto"/>
                    <w:contextualSpacing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  <w:t>до 31.12.2025</w:t>
                  </w:r>
                </w:p>
              </w:tc>
            </w:tr>
          </w:tbl>
          <w:p w:rsidR="008F5752" w:rsidRPr="008F5752" w:rsidRDefault="008F5752" w:rsidP="008F575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F5752" w:rsidRPr="008F5752" w:rsidRDefault="008F5752" w:rsidP="008F575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Враховуючи вимогу технічного забезпечення цифрового контролю в  режимі реального часу </w:t>
            </w:r>
            <w:proofErr w:type="spellStart"/>
            <w:r w:rsidRPr="008F575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периметрального</w:t>
            </w:r>
            <w:proofErr w:type="spellEnd"/>
            <w:r w:rsidRPr="008F575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обходу працівниками охорони території об’єкта фізичної охорони</w:t>
            </w:r>
            <w:r w:rsidRPr="008F57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75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(ГУ ДМС у Львівській області) та пропускного режиму, інші умови технічного завдання, Учасник в період уточнень повинен обов’язково оглянути зазначений об’єкт охорони Замовника та на підтвердження цього надати в складі тендерної пропозиції Акт його обстеження, складений у довільній формі, підписаний будь-якими уповноваженими особами Учасника та Замовника. </w:t>
            </w:r>
          </w:p>
          <w:p w:rsidR="008F5752" w:rsidRPr="008F5752" w:rsidRDefault="008F5752" w:rsidP="008F575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Надання послуг стаціонарної фізичної охорони території та адміністративних приміщень включає можливість залучення Виконавцем груп швидкого реагування за тривожним викликом з постів охорони з метою підсилення за потреби заходів охорони для забезпечення громадського порядку без обмеження кількості викликів.</w:t>
            </w:r>
          </w:p>
          <w:p w:rsidR="008F5752" w:rsidRDefault="008F5752" w:rsidP="008F5752">
            <w:pPr>
              <w:tabs>
                <w:tab w:val="left" w:pos="540"/>
                <w:tab w:val="left" w:pos="720"/>
              </w:tabs>
              <w:spacing w:after="0" w:line="2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F5752" w:rsidRPr="008F5752" w:rsidRDefault="008F5752" w:rsidP="008F5752">
            <w:pPr>
              <w:tabs>
                <w:tab w:val="left" w:pos="540"/>
                <w:tab w:val="left" w:pos="720"/>
              </w:tabs>
              <w:spacing w:after="0" w:line="20" w:lineRule="atLeast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8F57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Послуги з моніторингу сигналів тривоги, що надходять з пристроїв охоронної сигналізації </w:t>
            </w:r>
          </w:p>
          <w:p w:rsidR="008F5752" w:rsidRPr="008F5752" w:rsidRDefault="008F5752" w:rsidP="008F5752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b/>
                <w:color w:val="121212"/>
                <w:sz w:val="24"/>
                <w:szCs w:val="24"/>
                <w:lang w:val="uk-UA" w:eastAsia="fr-FR"/>
              </w:rPr>
              <w:t xml:space="preserve">Послуги з моніторингу сигналів тривоги, що надходять з пристроїв охоронної сигналізації </w:t>
            </w:r>
            <w:r w:rsidRPr="008F5752">
              <w:rPr>
                <w:rFonts w:eastAsia="Times New Roman" w:cs="Times New Roman"/>
                <w:b/>
                <w:sz w:val="24"/>
                <w:szCs w:val="24"/>
                <w:lang w:val="uk-UA" w:eastAsia="fr-FR"/>
              </w:rPr>
              <w:t>на Об’єктах Замовника, розташованих за адресами:</w:t>
            </w:r>
          </w:p>
          <w:p w:rsidR="008F5752" w:rsidRPr="008F5752" w:rsidRDefault="008F5752" w:rsidP="008F5752">
            <w:pPr>
              <w:spacing w:after="0"/>
              <w:jc w:val="right"/>
              <w:rPr>
                <w:rFonts w:eastAsia="Times New Roman" w:cs="Times New Roman"/>
                <w:b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b/>
                <w:sz w:val="24"/>
                <w:szCs w:val="24"/>
                <w:lang w:val="uk-UA" w:eastAsia="fr-FR"/>
              </w:rPr>
              <w:t>Таблиця 2</w:t>
            </w:r>
          </w:p>
          <w:tbl>
            <w:tblPr>
              <w:tblW w:w="107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2087"/>
              <w:gridCol w:w="2031"/>
              <w:gridCol w:w="689"/>
              <w:gridCol w:w="607"/>
              <w:gridCol w:w="599"/>
              <w:gridCol w:w="847"/>
              <w:gridCol w:w="822"/>
              <w:gridCol w:w="819"/>
              <w:gridCol w:w="810"/>
              <w:gridCol w:w="1016"/>
            </w:tblGrid>
            <w:tr w:rsidR="008F5752" w:rsidRPr="008F5752" w:rsidTr="008463FD">
              <w:trPr>
                <w:cantSplit/>
                <w:trHeight w:hRule="exact" w:val="446"/>
                <w:jc w:val="center"/>
              </w:trPr>
              <w:tc>
                <w:tcPr>
                  <w:tcW w:w="457" w:type="dxa"/>
                  <w:vMerge w:val="restart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  <w:t>№ п/п</w:t>
                  </w:r>
                </w:p>
              </w:tc>
              <w:tc>
                <w:tcPr>
                  <w:tcW w:w="2087" w:type="dxa"/>
                  <w:vMerge w:val="restart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  <w:t>Найменування об’єкта</w:t>
                  </w:r>
                </w:p>
              </w:tc>
              <w:tc>
                <w:tcPr>
                  <w:tcW w:w="2031" w:type="dxa"/>
                  <w:vMerge w:val="restart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  <w:t>Адреса об'єкта</w:t>
                  </w:r>
                </w:p>
              </w:tc>
              <w:tc>
                <w:tcPr>
                  <w:tcW w:w="6209" w:type="dxa"/>
                  <w:gridSpan w:val="8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  <w:t>Години охорони в дні:</w:t>
                  </w:r>
                </w:p>
              </w:tc>
            </w:tr>
            <w:tr w:rsidR="008F5752" w:rsidRPr="008F5752" w:rsidTr="008463FD">
              <w:trPr>
                <w:cantSplit/>
                <w:trHeight w:val="787"/>
                <w:jc w:val="center"/>
              </w:trPr>
              <w:tc>
                <w:tcPr>
                  <w:tcW w:w="457" w:type="dxa"/>
                  <w:vMerge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56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2087" w:type="dxa"/>
                  <w:vMerge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56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2031" w:type="dxa"/>
                  <w:vMerge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56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296" w:type="dxa"/>
                  <w:gridSpan w:val="2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  <w:t>Робочі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  <w:t>(з - до)</w:t>
                  </w:r>
                </w:p>
              </w:tc>
              <w:tc>
                <w:tcPr>
                  <w:tcW w:w="1446" w:type="dxa"/>
                  <w:gridSpan w:val="2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  <w:t>Передвихідні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  <w:t>(з - до)</w:t>
                  </w: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  <w:t>Вихідні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  <w:t>(з - до)</w:t>
                  </w:r>
                </w:p>
              </w:tc>
              <w:tc>
                <w:tcPr>
                  <w:tcW w:w="1629" w:type="dxa"/>
                  <w:gridSpan w:val="2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  <w:t>Передсвяткові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  <w:t>(з - до)</w:t>
                  </w: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  <w:t>Святкові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fr-FR"/>
                    </w:rPr>
                    <w:t>(з - до)</w:t>
                  </w:r>
                </w:p>
              </w:tc>
            </w:tr>
            <w:tr w:rsidR="008F5752" w:rsidRPr="008F5752" w:rsidTr="008463FD">
              <w:trPr>
                <w:cantSplit/>
                <w:trHeight w:val="853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uk-UA" w:eastAsia="fr-FR"/>
                    </w:rPr>
                    <w:t>1.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Стрийський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 відділ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Стрий,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Львівська, 141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390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Жидачівський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 сектор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Жидачів,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Вокзальна,6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390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lastRenderedPageBreak/>
                    <w:t>3.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Миколаївський відділ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Миколаїв, вул. Мазепи, 37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958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4.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Трускавецький сектор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Трускавець,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Данилишиних,62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879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5.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Бориславський відділ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Борислав,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Володимира Великого,28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390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6.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Червоноградський відділ 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Червоноград, вул. Івасюка,12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471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7.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Радехівський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 відділ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м. 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Радехів,вул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. Сонячна,2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737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8.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Сколівський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 сектор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Сколе,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вул. Братів 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Вільшинських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, 4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390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9.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Сокальський відділ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м. 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Сокаль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вул. 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Св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. Володимира,4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390"/>
                <w:jc w:val="center"/>
              </w:trPr>
              <w:tc>
                <w:tcPr>
                  <w:tcW w:w="45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10.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Пустомитівський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 відділ 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м. 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Пустомити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І. Кандиби,3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390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11.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Управління з питань тимчасового та постійного проживання іноземців та осіб без громадянства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Львів,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Руданського,3 (1,2,3 поверх)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390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highlight w:val="yellow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12.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Управління з питань паспортизації, реєстрації та еміграції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Львів,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Скорика,17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390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13.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Відділ з питань шукачів захисту та соціальної інтеграції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Львів, вул. Зелена, 150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390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lastRenderedPageBreak/>
                    <w:t>14.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Відділ №4 у місті Львові 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Львів,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Зелена,20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390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15.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Відділ №3 у місті Львові 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м. 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Львів,вул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. Залізнична,16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390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16.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Відділ №2 у місті Львові 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м. 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Львів,вул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. Донецька,3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390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17.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Відділ №1 у місті Львові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Львів, вул. Чупринки,71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1313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18.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Відділ інформаційних технологій та 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цифровізації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м. 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Львів,вул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. Січових Стрільців,11 (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каб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. 413)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1313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19.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Кабінет начальника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м. 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Львів,вул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. Січових Стрільців,11 (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каб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. 301)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1313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20.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Кабінет першого заступника начальника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м. 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Львів,вул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. Січових Стрільців,11 (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каб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. 303)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1313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21.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Кабінет заступника начальника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м. 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Львів,вул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. Січових Стрільців,11 (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каб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. 304-305)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1313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22.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Відділ документального забезпечення</w:t>
                  </w:r>
                </w:p>
              </w:tc>
              <w:tc>
                <w:tcPr>
                  <w:tcW w:w="2031" w:type="dxa"/>
                  <w:vAlign w:val="center"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м. 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Львів,вул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. Січових Стрільців,11 (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каб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. 306)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1313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23.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Відділ бухгалтерської служби, фінансування та звітності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Львів, вул. Січових Стрільців,11  (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каб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. 403)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1313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Відділ обліку та моніторингу інформації про реєстрацію місця проживання</w:t>
                  </w:r>
                </w:p>
              </w:tc>
              <w:tc>
                <w:tcPr>
                  <w:tcW w:w="2031" w:type="dxa"/>
                  <w:vAlign w:val="center"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Львів,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Окуневського,1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1092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lastRenderedPageBreak/>
                    <w:t>25.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Яворівський відділ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Яворів,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Львівська,10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(1-й поверх)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950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26.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Самбірський відділ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Самбір,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Мазепи,18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1007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27.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Старосамбірський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 відділ 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Старий Самбір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Коцюбинського,6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923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uk-UA" w:eastAsia="fr-FR"/>
                    </w:rPr>
                    <w:t>28.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Бродівський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 відділ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Броди,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Гончарська,15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923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uk-UA" w:eastAsia="fr-FR"/>
                    </w:rPr>
                    <w:t>29.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Дрогобицький відділ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Дрогобич,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Стрийська,64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1137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30.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Дрогобицький відділ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Дрогобич,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Чорновола,8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1015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31.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Мостиський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 відділ 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м. 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Мостиська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М.Грушевського,16В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1087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32.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Золочівський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 відділ 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Золочів,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Возницького,1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975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33.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Турківський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 відділ 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Турка, вул. Молодіжна,46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1047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34.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Перемишлянський сектор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м. 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Перемишляни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,  вул. Галицька,28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1047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35.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Буський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 сектор 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м. 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Буськ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Петрушевича,3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1047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36.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Городоцький  відділ 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Городок,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Львівська,1а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463FD">
              <w:trPr>
                <w:cantSplit/>
                <w:trHeight w:val="1047"/>
                <w:jc w:val="center"/>
              </w:trPr>
              <w:tc>
                <w:tcPr>
                  <w:tcW w:w="45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lastRenderedPageBreak/>
                    <w:t>37.</w:t>
                  </w:r>
                </w:p>
              </w:tc>
              <w:tc>
                <w:tcPr>
                  <w:tcW w:w="208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Кам’янка –Бузький відділ ГУ ДМС у Львівській області</w:t>
                  </w:r>
                </w:p>
              </w:tc>
              <w:tc>
                <w:tcPr>
                  <w:tcW w:w="2031" w:type="dxa"/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м. Кам’янка-Бузька,</w:t>
                  </w:r>
                </w:p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вул. Незалежності, 27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</w:tc>
              <w:tc>
                <w:tcPr>
                  <w:tcW w:w="822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  <w:tr w:rsidR="008F5752" w:rsidRPr="008F5752" w:rsidTr="008F5752">
              <w:trPr>
                <w:cantSplit/>
                <w:trHeight w:val="1047"/>
                <w:jc w:val="center"/>
              </w:trPr>
              <w:tc>
                <w:tcPr>
                  <w:tcW w:w="457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38</w:t>
                  </w:r>
                </w:p>
              </w:tc>
              <w:tc>
                <w:tcPr>
                  <w:tcW w:w="2087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Жовківський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 відділ ГУ ДМС у Львівській області</w:t>
                  </w:r>
                </w:p>
              </w:tc>
              <w:tc>
                <w:tcPr>
                  <w:tcW w:w="2031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8F5752" w:rsidRPr="008F5752" w:rsidRDefault="008F5752" w:rsidP="008F5752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 xml:space="preserve">м. </w:t>
                  </w:r>
                  <w:proofErr w:type="spellStart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Жовква</w:t>
                  </w:r>
                  <w:proofErr w:type="spellEnd"/>
                  <w:r w:rsidRPr="008F5752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uk-UA" w:eastAsia="fr-FR"/>
                    </w:rPr>
                    <w:t>, вул. Святої Трійці, 3г/34</w:t>
                  </w:r>
                </w:p>
              </w:tc>
              <w:tc>
                <w:tcPr>
                  <w:tcW w:w="689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607" w:type="dxa"/>
                  <w:tcBorders>
                    <w:bottom w:val="single" w:sz="4" w:space="0" w:color="auto"/>
                  </w:tcBorders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</w:tc>
              <w:tc>
                <w:tcPr>
                  <w:tcW w:w="82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9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00:00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-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24:00</w:t>
                  </w:r>
                </w:p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</w:p>
              </w:tc>
              <w:tc>
                <w:tcPr>
                  <w:tcW w:w="1016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8F5752" w:rsidRPr="008F5752" w:rsidRDefault="008F5752" w:rsidP="008F575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</w:pPr>
                  <w:r w:rsidRPr="008F5752">
                    <w:rPr>
                      <w:rFonts w:eastAsia="Times New Roman" w:cs="Times New Roman"/>
                      <w:sz w:val="24"/>
                      <w:szCs w:val="24"/>
                      <w:lang w:val="uk-UA" w:eastAsia="fr-FR"/>
                    </w:rPr>
                    <w:t>ц/д</w:t>
                  </w:r>
                </w:p>
              </w:tc>
            </w:tr>
          </w:tbl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fr-FR"/>
              </w:rPr>
            </w:pP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>Термін надання послуг -  до 31.12.2025 р.</w:t>
            </w: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fr-FR"/>
              </w:rPr>
            </w:pP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 xml:space="preserve">Технічне обслуговування охоронно-тривожної сигналізації. </w:t>
            </w: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>Для прийняття сигналів тривоги Учасник використовує  пульт централізованого спостереження з цілодобовим режимом чергування операторів такого пульту, який повинен бути укомплектований штатними працівниками. На пульті централізованого спостереження Учасник забезпечує ведення електронного журналу реєстрації подій (тривога, несправність, відсутність живлення тощо) з терміном збереження запису про відповідну подію протягом не менш як 30 діб.</w:t>
            </w: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 xml:space="preserve">       У разі надходження на ПЦС сигналу про спрацювання сигналізації на Об'єкті в період охорони учасник повинен:</w:t>
            </w: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 xml:space="preserve">- негайно направити групу швидкого реагування на Об'єкт для вжиття заходів, спрямованих на встановлення причин спрацювань сигналізації;  </w:t>
            </w: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>- негайно сповістити Замовника або його уповноважену особу про спрацювання сигналізації на Об'єкті з метою виявлення причин спрацювання сигналізації;</w:t>
            </w: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>- в разі виявлення слідів проникнення на Об'єкт або спроб проникнення на Об'єкт сповістити про це Замовника;</w:t>
            </w: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>- в разі виявлення на Об'єкті в період охорони будь-яких осіб вжити заходів щодо їх затримання та передачі правоохоронним органам;</w:t>
            </w: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>- забезпечити охорону майна на Об'єкті після спрацювання сигналізації до прибуття на Об'єкт Замовника, але не більше 1-ї години з моменту попередження Замовника.</w:t>
            </w: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>- не розголошувати стороннім особам конфіденційну інформацію, до якої відноситься інформація про  пультові коди, системи сигналізації, систему зв'язку і контролю за здійсненням охорони;</w:t>
            </w: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 xml:space="preserve">- повідомляти в чергову частину Національної поліції і Замовнику про факт порушення цілісності Об'єкта або збитки, заподіяні пошкодженням майна, що охороняється. </w:t>
            </w: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>- до прибуття представників територіального підрозділу Національної поліції забезпечувати недоторканість місця події;</w:t>
            </w: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>- забезпечити охорону майна Замовника, прийнятого під охорону на Об’єкті, від розкрадання, несанкціонованого проникнення, пошкодження майна, за час перебування останнього під охороною;</w:t>
            </w: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>- за письмовою (або по телефону) заявкою Замовника здійснювати експлуатаційне обслуговування сигналізації та усувати її несправності, в межах можливостей технічного обслуговування;</w:t>
            </w: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>- негайно сповіщати уповноваженого представника Замовника у разі несвоєчасного здавання Об’єкта під охорону, та про випадки спрацювання сигналізації;</w:t>
            </w: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>- здійснювати заходи з переобладнання (переоснащення) та/або перепрограмування технічних засобів сигналізації, встановлених на об’єктах, які знаходяться під охороною, у разі такої необхідності при переключенні їх на пульт централізованого спостереження Виконавця без додаткових грошових витрат Замовника.</w:t>
            </w:r>
          </w:p>
          <w:p w:rsidR="008F5752" w:rsidRPr="008F5752" w:rsidRDefault="008F5752" w:rsidP="008F5752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val="uk-UA" w:eastAsia="fr-FR"/>
              </w:rPr>
            </w:pPr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 xml:space="preserve">       Виїзд групи швидкого реагування за сигналом тривоги здійснюється на спеціальному транспорті  реагування, обладнаного відповідно до вимог пп.2 п. 12 Постанови КМ України від 18.11.2015 № 960 «Про затвердження Ліцензійних умов провадження охоронної діяльності» </w:t>
            </w:r>
            <w:proofErr w:type="spellStart"/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>кольорографічними</w:t>
            </w:r>
            <w:proofErr w:type="spellEnd"/>
            <w:r w:rsidRPr="008F5752">
              <w:rPr>
                <w:rFonts w:eastAsia="Times New Roman" w:cs="Times New Roman"/>
                <w:sz w:val="24"/>
                <w:szCs w:val="24"/>
                <w:lang w:val="uk-UA" w:eastAsia="fr-FR"/>
              </w:rPr>
              <w:t xml:space="preserve"> схемами (написами), які ідентифікують суб’єкта охоронної діяльності, зокрема, його скорочене найменування, номер телефону та емблема (у разі наявності).</w:t>
            </w:r>
          </w:p>
          <w:p w:rsidR="008F5752" w:rsidRDefault="008F5752" w:rsidP="008F5752">
            <w:pPr>
              <w:spacing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F5752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Примітка: </w:t>
            </w:r>
          </w:p>
          <w:p w:rsidR="008F5752" w:rsidRPr="008F5752" w:rsidRDefault="008F5752" w:rsidP="008F5752">
            <w:pPr>
              <w:spacing w:after="0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F5752"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  <w:t>*</w:t>
            </w:r>
            <w:r w:rsidRPr="008F5752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 xml:space="preserve">всі посилання на торговельну марку, фірму, патент, конструкцію або тип предмета закупівлі, </w:t>
            </w:r>
            <w:r w:rsidRPr="008F5752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джерело його походження або виробника слід читати як</w:t>
            </w:r>
            <w:r w:rsidRPr="008F5752"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«або еквівалент»</w:t>
            </w:r>
            <w:r w:rsidRPr="008F5752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.</w:t>
            </w:r>
          </w:p>
          <w:p w:rsidR="008F5752" w:rsidRPr="008F5752" w:rsidRDefault="008F5752" w:rsidP="008F5752">
            <w:pPr>
              <w:spacing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6" w:type="dxa"/>
            <w:vAlign w:val="center"/>
            <w:hideMark/>
          </w:tcPr>
          <w:p w:rsidR="008F5752" w:rsidRPr="008F5752" w:rsidRDefault="008F5752" w:rsidP="008F5752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8F5752" w:rsidRPr="00F429B0" w:rsidRDefault="008F575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</w:pPr>
    </w:p>
    <w:sectPr w:rsidR="008F5752" w:rsidRPr="00F429B0" w:rsidSect="008F5752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CA9"/>
    <w:multiLevelType w:val="hybridMultilevel"/>
    <w:tmpl w:val="7E528030"/>
    <w:lvl w:ilvl="0" w:tplc="CFFC8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6E1E"/>
    <w:multiLevelType w:val="hybridMultilevel"/>
    <w:tmpl w:val="272C3C26"/>
    <w:lvl w:ilvl="0" w:tplc="FE3C0DA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B65032"/>
    <w:multiLevelType w:val="multilevel"/>
    <w:tmpl w:val="C7E8828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AE33F3"/>
    <w:multiLevelType w:val="hybridMultilevel"/>
    <w:tmpl w:val="8E18A9D0"/>
    <w:lvl w:ilvl="0" w:tplc="434AE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62AD6"/>
    <w:multiLevelType w:val="hybridMultilevel"/>
    <w:tmpl w:val="9DA2B796"/>
    <w:lvl w:ilvl="0" w:tplc="A740B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B46F0"/>
    <w:multiLevelType w:val="hybridMultilevel"/>
    <w:tmpl w:val="14E889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728DF"/>
    <w:multiLevelType w:val="hybridMultilevel"/>
    <w:tmpl w:val="4E1C1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43205"/>
    <w:multiLevelType w:val="hybridMultilevel"/>
    <w:tmpl w:val="3AC4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1CDA"/>
    <w:rsid w:val="002005E6"/>
    <w:rsid w:val="00296E21"/>
    <w:rsid w:val="005314BA"/>
    <w:rsid w:val="006C0B77"/>
    <w:rsid w:val="008242FF"/>
    <w:rsid w:val="008463FD"/>
    <w:rsid w:val="00870751"/>
    <w:rsid w:val="008D1484"/>
    <w:rsid w:val="008F5752"/>
    <w:rsid w:val="00922C48"/>
    <w:rsid w:val="00995E49"/>
    <w:rsid w:val="00AB53CD"/>
    <w:rsid w:val="00B412B8"/>
    <w:rsid w:val="00B915B7"/>
    <w:rsid w:val="00BD2651"/>
    <w:rsid w:val="00CA1CDA"/>
    <w:rsid w:val="00D362C7"/>
    <w:rsid w:val="00EA59DF"/>
    <w:rsid w:val="00EE4070"/>
    <w:rsid w:val="00F12C76"/>
    <w:rsid w:val="00F4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08D2"/>
  <w15:docId w15:val="{F0231B03-D801-40F3-B73B-62A18580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C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CDA"/>
    <w:rPr>
      <w:b/>
      <w:bCs/>
    </w:rPr>
  </w:style>
  <w:style w:type="character" w:styleId="a5">
    <w:name w:val="Emphasis"/>
    <w:basedOn w:val="a0"/>
    <w:uiPriority w:val="20"/>
    <w:qFormat/>
    <w:rsid w:val="00CA1CDA"/>
    <w:rPr>
      <w:i/>
      <w:iCs/>
    </w:rPr>
  </w:style>
  <w:style w:type="paragraph" w:styleId="a6">
    <w:name w:val="header"/>
    <w:basedOn w:val="a"/>
    <w:link w:val="a7"/>
    <w:uiPriority w:val="99"/>
    <w:unhideWhenUsed/>
    <w:rsid w:val="00F429B0"/>
    <w:pPr>
      <w:tabs>
        <w:tab w:val="center" w:pos="4819"/>
        <w:tab w:val="right" w:pos="9639"/>
      </w:tabs>
      <w:spacing w:after="0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a7">
    <w:name w:val="Верхній колонтитул Знак"/>
    <w:basedOn w:val="a0"/>
    <w:link w:val="a6"/>
    <w:uiPriority w:val="99"/>
    <w:rsid w:val="00F429B0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a8">
    <w:name w:val="footer"/>
    <w:basedOn w:val="a"/>
    <w:link w:val="a9"/>
    <w:uiPriority w:val="99"/>
    <w:unhideWhenUsed/>
    <w:rsid w:val="00F429B0"/>
    <w:pPr>
      <w:tabs>
        <w:tab w:val="center" w:pos="4819"/>
        <w:tab w:val="right" w:pos="9639"/>
      </w:tabs>
      <w:spacing w:after="0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a9">
    <w:name w:val="Нижній колонтитул Знак"/>
    <w:basedOn w:val="a0"/>
    <w:link w:val="a8"/>
    <w:uiPriority w:val="99"/>
    <w:rsid w:val="00F429B0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aa">
    <w:name w:val="List Paragraph"/>
    <w:aliases w:val="Абзац списку 1,тв-Абзац списка,название табл/рис,заголовок 1.1,List Paragraph (numbered (a)),List_Paragraph,Multilevel para_II,List Paragraph-ExecSummary,Akapit z listą BS,Bullets,List Paragraph 1,References,符号列表,列出段落2,列出段落1"/>
    <w:basedOn w:val="a"/>
    <w:uiPriority w:val="1"/>
    <w:qFormat/>
    <w:rsid w:val="00F429B0"/>
    <w:pPr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numbering" w:customStyle="1" w:styleId="1">
    <w:name w:val="Немає списку1"/>
    <w:next w:val="a2"/>
    <w:uiPriority w:val="99"/>
    <w:semiHidden/>
    <w:unhideWhenUsed/>
    <w:rsid w:val="008F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8600</Words>
  <Characters>4902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7</cp:revision>
  <dcterms:created xsi:type="dcterms:W3CDTF">2024-01-17T06:58:00Z</dcterms:created>
  <dcterms:modified xsi:type="dcterms:W3CDTF">2025-03-23T21:26:00Z</dcterms:modified>
</cp:coreProperties>
</file>