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B2" w:rsidRPr="0069769C" w:rsidRDefault="00143CEF" w:rsidP="00143CEF">
      <w:pPr>
        <w:spacing w:after="0"/>
        <w:ind w:firstLine="709"/>
        <w:jc w:val="center"/>
        <w:rPr>
          <w:rFonts w:cs="Times New Roman"/>
          <w:sz w:val="24"/>
          <w:szCs w:val="24"/>
          <w:lang w:val="uk-UA"/>
        </w:rPr>
      </w:pPr>
      <w:r w:rsidRPr="0069769C">
        <w:rPr>
          <w:rFonts w:cs="Times New Roman"/>
          <w:b/>
          <w:sz w:val="24"/>
          <w:szCs w:val="24"/>
          <w:lang w:val="uk-UA"/>
        </w:rPr>
        <w:t>ОБҐРУНТУВАННЯ</w:t>
      </w:r>
      <w:r w:rsidRPr="0069769C">
        <w:rPr>
          <w:rFonts w:cs="Times New Roman"/>
          <w:b/>
          <w:sz w:val="24"/>
          <w:szCs w:val="24"/>
          <w:lang w:val="uk-UA"/>
        </w:rPr>
        <w:br/>
        <w:t>технічних та якісних характеристик закупівлі відкриті торги з особливостями</w:t>
      </w:r>
      <w:r w:rsidRPr="0069769C">
        <w:rPr>
          <w:rFonts w:cs="Times New Roman"/>
          <w:b/>
          <w:sz w:val="24"/>
          <w:szCs w:val="24"/>
          <w:lang w:val="uk-UA"/>
        </w:rPr>
        <w:br/>
      </w:r>
    </w:p>
    <w:p w:rsidR="004A7E97" w:rsidRPr="0069769C" w:rsidRDefault="004A7E97" w:rsidP="004A7E97">
      <w:pPr>
        <w:pStyle w:val="2"/>
        <w:shd w:val="clear" w:color="auto" w:fill="F8F8F8"/>
        <w:spacing w:before="0"/>
        <w:jc w:val="center"/>
        <w:rPr>
          <w:rStyle w:val="a6"/>
          <w:rFonts w:ascii="Times New Roman" w:eastAsiaTheme="minorHAnsi" w:hAnsi="Times New Roman" w:cs="Times New Roman"/>
          <w:b w:val="0"/>
          <w:bCs w:val="0"/>
          <w:color w:val="000000"/>
          <w:sz w:val="24"/>
          <w:szCs w:val="24"/>
          <w:bdr w:val="none" w:sz="0" w:space="0" w:color="auto" w:frame="1"/>
          <w:lang w:val="uk-UA"/>
        </w:rPr>
      </w:pPr>
      <w:r w:rsidRPr="0069769C">
        <w:rPr>
          <w:rStyle w:val="a6"/>
          <w:rFonts w:ascii="Times New Roman" w:eastAsiaTheme="minorHAnsi" w:hAnsi="Times New Roman" w:cs="Times New Roman"/>
          <w:b w:val="0"/>
          <w:bCs w:val="0"/>
          <w:color w:val="000000"/>
          <w:sz w:val="24"/>
          <w:szCs w:val="24"/>
          <w:bdr w:val="none" w:sz="0" w:space="0" w:color="auto" w:frame="1"/>
          <w:lang w:val="uk-UA"/>
        </w:rPr>
        <w:t xml:space="preserve">Природний газ за кодом </w:t>
      </w:r>
      <w:proofErr w:type="spellStart"/>
      <w:r w:rsidRPr="0069769C">
        <w:rPr>
          <w:rStyle w:val="a6"/>
          <w:rFonts w:ascii="Times New Roman" w:eastAsiaTheme="minorHAnsi" w:hAnsi="Times New Roman" w:cs="Times New Roman"/>
          <w:b w:val="0"/>
          <w:bCs w:val="0"/>
          <w:color w:val="000000"/>
          <w:sz w:val="24"/>
          <w:szCs w:val="24"/>
          <w:bdr w:val="none" w:sz="0" w:space="0" w:color="auto" w:frame="1"/>
          <w:lang w:val="uk-UA"/>
        </w:rPr>
        <w:t>ДК</w:t>
      </w:r>
      <w:proofErr w:type="spellEnd"/>
      <w:r w:rsidRPr="0069769C">
        <w:rPr>
          <w:rStyle w:val="a6"/>
          <w:rFonts w:ascii="Times New Roman" w:eastAsiaTheme="minorHAnsi" w:hAnsi="Times New Roman" w:cs="Times New Roman"/>
          <w:b w:val="0"/>
          <w:bCs w:val="0"/>
          <w:color w:val="000000"/>
          <w:sz w:val="24"/>
          <w:szCs w:val="24"/>
          <w:bdr w:val="none" w:sz="0" w:space="0" w:color="auto" w:frame="1"/>
          <w:lang w:val="uk-UA"/>
        </w:rPr>
        <w:t xml:space="preserve"> 021:2015 09120000-6: Газове паливо</w:t>
      </w:r>
    </w:p>
    <w:p w:rsidR="004A7E97" w:rsidRPr="0069769C" w:rsidRDefault="004A7E97" w:rsidP="00143CEF">
      <w:pPr>
        <w:spacing w:after="0"/>
        <w:ind w:firstLine="709"/>
        <w:jc w:val="center"/>
        <w:rPr>
          <w:rFonts w:cs="Times New Roman"/>
          <w:sz w:val="24"/>
          <w:szCs w:val="24"/>
          <w:lang w:val="uk-UA"/>
        </w:rPr>
      </w:pPr>
    </w:p>
    <w:p w:rsidR="00CA1CDA" w:rsidRPr="0069769C" w:rsidRDefault="00143CEF" w:rsidP="00143CEF">
      <w:pPr>
        <w:spacing w:after="0"/>
        <w:ind w:firstLine="709"/>
        <w:jc w:val="center"/>
        <w:rPr>
          <w:rStyle w:val="a6"/>
          <w:rFonts w:cs="Times New Roman"/>
          <w:color w:val="000000"/>
          <w:sz w:val="24"/>
          <w:szCs w:val="24"/>
          <w:bdr w:val="none" w:sz="0" w:space="0" w:color="auto" w:frame="1"/>
          <w:lang w:val="uk-UA"/>
        </w:rPr>
      </w:pPr>
      <w:r w:rsidRPr="0069769C">
        <w:rPr>
          <w:rFonts w:cs="Times New Roman"/>
          <w:sz w:val="24"/>
          <w:szCs w:val="24"/>
          <w:lang w:val="uk-UA"/>
        </w:rPr>
        <w:t>(оприлюднюється на виконання постанови КМУ № 710 від 11.10.2016 «Про ефективне використання державних коштів» (зі змінами))</w:t>
      </w:r>
      <w:r w:rsidRPr="0069769C">
        <w:rPr>
          <w:rFonts w:cs="Times New Roman"/>
          <w:sz w:val="24"/>
          <w:szCs w:val="24"/>
          <w:lang w:val="uk-UA"/>
        </w:rPr>
        <w:br/>
      </w:r>
      <w:r w:rsidRPr="0069769C">
        <w:rPr>
          <w:rFonts w:cs="Times New Roman"/>
          <w:sz w:val="24"/>
          <w:szCs w:val="24"/>
          <w:lang w:val="uk-UA"/>
        </w:rPr>
        <w:br/>
      </w:r>
      <w:r w:rsidR="00CA1CDA" w:rsidRPr="0069769C">
        <w:rPr>
          <w:rStyle w:val="a6"/>
          <w:rFonts w:cs="Times New Roman"/>
          <w:color w:val="000000"/>
          <w:sz w:val="24"/>
          <w:szCs w:val="24"/>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69769C" w:rsidRDefault="00CA1CDA" w:rsidP="00CA1CDA">
      <w:pPr>
        <w:pStyle w:val="a3"/>
        <w:shd w:val="clear" w:color="auto" w:fill="FFFFFF"/>
        <w:spacing w:before="0" w:beforeAutospacing="0" w:after="0" w:afterAutospacing="0"/>
        <w:jc w:val="center"/>
        <w:textAlignment w:val="baseline"/>
        <w:rPr>
          <w:color w:val="000000"/>
          <w:lang w:val="uk-UA"/>
        </w:rPr>
      </w:pPr>
    </w:p>
    <w:p w:rsidR="00CA1CDA" w:rsidRPr="0069769C" w:rsidRDefault="00CA1CDA" w:rsidP="00044BD5">
      <w:pPr>
        <w:shd w:val="clear" w:color="auto" w:fill="FFFFFF"/>
        <w:spacing w:after="0"/>
        <w:jc w:val="both"/>
        <w:rPr>
          <w:rFonts w:cs="Times New Roman"/>
          <w:color w:val="000000"/>
          <w:sz w:val="24"/>
          <w:szCs w:val="24"/>
          <w:lang w:val="uk-UA"/>
        </w:rPr>
      </w:pPr>
      <w:r w:rsidRPr="0069769C">
        <w:rPr>
          <w:rStyle w:val="a5"/>
          <w:rFonts w:cs="Times New Roman"/>
          <w:color w:val="000000"/>
          <w:sz w:val="24"/>
          <w:szCs w:val="24"/>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034C7" w:rsidRPr="0069769C">
        <w:rPr>
          <w:rFonts w:cs="Times New Roman"/>
          <w:color w:val="000000"/>
          <w:sz w:val="24"/>
          <w:szCs w:val="24"/>
          <w:lang w:val="uk-UA"/>
        </w:rPr>
        <w:t>Західне міжрегіональне управління Державної міграційної служби</w:t>
      </w:r>
      <w:r w:rsidRPr="0069769C">
        <w:rPr>
          <w:rFonts w:cs="Times New Roman"/>
          <w:color w:val="000000"/>
          <w:sz w:val="24"/>
          <w:szCs w:val="24"/>
          <w:lang w:val="uk-UA"/>
        </w:rPr>
        <w:t xml:space="preserve">; </w:t>
      </w:r>
      <w:r w:rsidRPr="0069769C">
        <w:rPr>
          <w:rFonts w:cs="Times New Roman"/>
          <w:b/>
          <w:color w:val="000000"/>
          <w:sz w:val="24"/>
          <w:szCs w:val="24"/>
          <w:lang w:val="uk-UA"/>
        </w:rPr>
        <w:t>Категорія</w:t>
      </w:r>
      <w:r w:rsidRPr="0069769C">
        <w:rPr>
          <w:rFonts w:cs="Times New Roman"/>
          <w:color w:val="000000"/>
          <w:sz w:val="24"/>
          <w:szCs w:val="24"/>
          <w:lang w:val="uk-UA"/>
        </w:rPr>
        <w:t xml:space="preserve"> - </w:t>
      </w:r>
      <w:r w:rsidR="00044BD5" w:rsidRPr="0069769C">
        <w:rPr>
          <w:rFonts w:eastAsia="Times New Roman" w:cs="Times New Roman"/>
          <w:color w:val="000000"/>
          <w:sz w:val="24"/>
          <w:szCs w:val="24"/>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69769C">
        <w:rPr>
          <w:rFonts w:cs="Times New Roman"/>
          <w:color w:val="000000"/>
          <w:sz w:val="24"/>
          <w:szCs w:val="24"/>
          <w:lang w:val="uk-UA"/>
        </w:rPr>
        <w:t xml:space="preserve">; </w:t>
      </w:r>
      <w:r w:rsidRPr="0069769C">
        <w:rPr>
          <w:rFonts w:cs="Times New Roman"/>
          <w:b/>
          <w:color w:val="000000"/>
          <w:sz w:val="24"/>
          <w:szCs w:val="24"/>
          <w:lang w:val="uk-UA"/>
        </w:rPr>
        <w:t>місцезнаходження</w:t>
      </w:r>
      <w:r w:rsidRPr="0069769C">
        <w:rPr>
          <w:rFonts w:cs="Times New Roman"/>
          <w:color w:val="000000"/>
          <w:sz w:val="24"/>
          <w:szCs w:val="24"/>
          <w:lang w:val="uk-UA"/>
        </w:rPr>
        <w:t xml:space="preserve"> - 79007, Україна, Львівська область, місто Львів, вул. Січових Стрільців,11; </w:t>
      </w:r>
      <w:r w:rsidR="00044BD5" w:rsidRPr="0069769C">
        <w:rPr>
          <w:rFonts w:cs="Times New Roman"/>
          <w:b/>
          <w:color w:val="000000"/>
          <w:sz w:val="24"/>
          <w:szCs w:val="24"/>
          <w:lang w:val="uk-UA"/>
        </w:rPr>
        <w:t>ЄДРПОУ</w:t>
      </w:r>
      <w:r w:rsidRPr="0069769C">
        <w:rPr>
          <w:rFonts w:cs="Times New Roman"/>
          <w:color w:val="000000"/>
          <w:sz w:val="24"/>
          <w:szCs w:val="24"/>
          <w:lang w:val="uk-UA"/>
        </w:rPr>
        <w:t xml:space="preserve"> –</w:t>
      </w:r>
      <w:r w:rsidR="00044BD5" w:rsidRPr="0069769C">
        <w:rPr>
          <w:rFonts w:cs="Times New Roman"/>
          <w:color w:val="000000"/>
          <w:sz w:val="24"/>
          <w:szCs w:val="24"/>
          <w:lang w:val="uk-UA"/>
        </w:rPr>
        <w:t xml:space="preserve"> 45870769</w:t>
      </w:r>
      <w:r w:rsidRPr="0069769C">
        <w:rPr>
          <w:rFonts w:cs="Times New Roman"/>
          <w:color w:val="000000"/>
          <w:sz w:val="24"/>
          <w:szCs w:val="24"/>
          <w:lang w:val="uk-UA"/>
        </w:rPr>
        <w:t>.</w:t>
      </w:r>
    </w:p>
    <w:p w:rsidR="004A7E97" w:rsidRPr="0069769C" w:rsidRDefault="00143CEF" w:rsidP="004A7E97">
      <w:pPr>
        <w:pStyle w:val="2"/>
        <w:shd w:val="clear" w:color="auto" w:fill="F8F8F8"/>
        <w:spacing w:before="0"/>
        <w:rPr>
          <w:rFonts w:ascii="Times New Roman" w:eastAsiaTheme="minorHAnsi" w:hAnsi="Times New Roman" w:cs="Times New Roman"/>
          <w:b w:val="0"/>
          <w:bCs w:val="0"/>
          <w:color w:val="auto"/>
          <w:sz w:val="24"/>
          <w:szCs w:val="24"/>
          <w:lang w:val="uk-UA"/>
        </w:rPr>
      </w:pPr>
      <w:r w:rsidRPr="0069769C">
        <w:rPr>
          <w:rStyle w:val="a5"/>
          <w:rFonts w:ascii="Times New Roman" w:eastAsiaTheme="minorHAnsi" w:hAnsi="Times New Roman" w:cs="Times New Roman"/>
          <w:b/>
          <w:color w:val="000000"/>
          <w:sz w:val="24"/>
          <w:szCs w:val="24"/>
          <w:bdr w:val="none" w:sz="0" w:space="0" w:color="auto" w:frame="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sidRPr="0069769C">
        <w:rPr>
          <w:rStyle w:val="a5"/>
          <w:rFonts w:ascii="Times New Roman" w:eastAsiaTheme="minorHAnsi" w:hAnsi="Times New Roman" w:cs="Times New Roman"/>
          <w:b/>
          <w:color w:val="000000"/>
          <w:sz w:val="24"/>
          <w:szCs w:val="24"/>
          <w:bdr w:val="none" w:sz="0" w:space="0" w:color="auto" w:frame="1"/>
          <w:lang w:val="uk-UA"/>
        </w:rPr>
        <w:t>н</w:t>
      </w:r>
      <w:r w:rsidRPr="0069769C">
        <w:rPr>
          <w:rStyle w:val="a5"/>
          <w:rFonts w:ascii="Times New Roman" w:eastAsiaTheme="minorHAnsi" w:hAnsi="Times New Roman" w:cs="Times New Roman"/>
          <w:b/>
          <w:color w:val="000000"/>
          <w:sz w:val="24"/>
          <w:szCs w:val="24"/>
          <w:bdr w:val="none" w:sz="0" w:space="0" w:color="auto" w:frame="1"/>
          <w:lang w:val="uk-UA"/>
        </w:rPr>
        <w:t>аявності):</w:t>
      </w:r>
      <w:r w:rsidRPr="0069769C">
        <w:rPr>
          <w:rFonts w:ascii="Times New Roman" w:hAnsi="Times New Roman" w:cs="Times New Roman"/>
          <w:sz w:val="24"/>
          <w:szCs w:val="24"/>
          <w:lang w:val="uk-UA"/>
        </w:rPr>
        <w:t> </w:t>
      </w:r>
      <w:r w:rsidR="00F239B2" w:rsidRPr="0069769C">
        <w:rPr>
          <w:rFonts w:ascii="Times New Roman" w:hAnsi="Times New Roman" w:cs="Times New Roman"/>
          <w:sz w:val="24"/>
          <w:szCs w:val="24"/>
          <w:lang w:val="uk-UA"/>
        </w:rPr>
        <w:t xml:space="preserve"> </w:t>
      </w:r>
      <w:r w:rsidR="004A7E97" w:rsidRPr="0069769C">
        <w:rPr>
          <w:rFonts w:ascii="Times New Roman" w:eastAsiaTheme="minorHAnsi" w:hAnsi="Times New Roman" w:cs="Times New Roman"/>
          <w:b w:val="0"/>
          <w:bCs w:val="0"/>
          <w:color w:val="auto"/>
          <w:sz w:val="24"/>
          <w:szCs w:val="24"/>
          <w:lang w:val="uk-UA"/>
        </w:rPr>
        <w:t xml:space="preserve">Природний газ за кодом </w:t>
      </w:r>
      <w:proofErr w:type="spellStart"/>
      <w:r w:rsidR="004A7E97" w:rsidRPr="0069769C">
        <w:rPr>
          <w:rFonts w:ascii="Times New Roman" w:eastAsiaTheme="minorHAnsi" w:hAnsi="Times New Roman" w:cs="Times New Roman"/>
          <w:b w:val="0"/>
          <w:bCs w:val="0"/>
          <w:color w:val="auto"/>
          <w:sz w:val="24"/>
          <w:szCs w:val="24"/>
          <w:lang w:val="uk-UA"/>
        </w:rPr>
        <w:t>ДК</w:t>
      </w:r>
      <w:proofErr w:type="spellEnd"/>
      <w:r w:rsidR="004A7E97" w:rsidRPr="0069769C">
        <w:rPr>
          <w:rFonts w:ascii="Times New Roman" w:eastAsiaTheme="minorHAnsi" w:hAnsi="Times New Roman" w:cs="Times New Roman"/>
          <w:b w:val="0"/>
          <w:bCs w:val="0"/>
          <w:color w:val="auto"/>
          <w:sz w:val="24"/>
          <w:szCs w:val="24"/>
          <w:lang w:val="uk-UA"/>
        </w:rPr>
        <w:t xml:space="preserve"> 021:2015 09120000-6: Газове паливо</w:t>
      </w:r>
    </w:p>
    <w:p w:rsidR="00F239B2" w:rsidRPr="0069769C" w:rsidRDefault="00F239B2" w:rsidP="00F239B2">
      <w:pPr>
        <w:spacing w:after="0"/>
        <w:rPr>
          <w:rFonts w:eastAsia="Times New Roman" w:cs="Times New Roman"/>
          <w:color w:val="000000"/>
          <w:sz w:val="24"/>
          <w:szCs w:val="24"/>
          <w:lang w:val="uk-UA" w:eastAsia="ru-RU"/>
        </w:rPr>
      </w:pPr>
    </w:p>
    <w:p w:rsidR="00CA1CDA" w:rsidRPr="0069769C" w:rsidRDefault="00CA1CDA" w:rsidP="00BD6083">
      <w:pPr>
        <w:spacing w:line="300" w:lineRule="atLeast"/>
        <w:jc w:val="both"/>
        <w:rPr>
          <w:rFonts w:eastAsia="Times New Roman" w:cs="Times New Roman"/>
          <w:iCs/>
          <w:sz w:val="24"/>
          <w:szCs w:val="24"/>
          <w:lang w:val="uk-UA" w:eastAsia="ru-RU"/>
        </w:rPr>
      </w:pPr>
      <w:r w:rsidRPr="0069769C">
        <w:rPr>
          <w:rFonts w:cs="Times New Roman"/>
          <w:b/>
          <w:sz w:val="24"/>
          <w:szCs w:val="24"/>
          <w:lang w:val="uk-UA"/>
        </w:rPr>
        <w:t>Вид та ідентифікатор процедури закупівлі</w:t>
      </w:r>
      <w:r w:rsidRPr="0069769C">
        <w:rPr>
          <w:rFonts w:cs="Times New Roman"/>
          <w:sz w:val="24"/>
          <w:szCs w:val="24"/>
          <w:lang w:val="uk-UA"/>
        </w:rPr>
        <w:t xml:space="preserve">: </w:t>
      </w:r>
      <w:r w:rsidR="00BD6083" w:rsidRPr="0069769C">
        <w:rPr>
          <w:rFonts w:eastAsia="Times New Roman" w:cs="Times New Roman"/>
          <w:color w:val="000000"/>
          <w:sz w:val="24"/>
          <w:szCs w:val="24"/>
          <w:lang w:val="uk-UA" w:eastAsia="ru-RU"/>
        </w:rPr>
        <w:br/>
      </w:r>
      <w:r w:rsidR="00143CEF" w:rsidRPr="0069769C">
        <w:rPr>
          <w:rFonts w:eastAsia="Times New Roman" w:cs="Times New Roman"/>
          <w:color w:val="000000"/>
          <w:sz w:val="24"/>
          <w:szCs w:val="24"/>
          <w:lang w:val="uk-UA" w:eastAsia="ru-RU"/>
        </w:rPr>
        <w:t>Відкриті торги з особливостями</w:t>
      </w:r>
      <w:r w:rsidR="00F239B2" w:rsidRPr="0069769C">
        <w:rPr>
          <w:rFonts w:eastAsia="Times New Roman" w:cs="Times New Roman"/>
          <w:color w:val="000000"/>
          <w:sz w:val="24"/>
          <w:szCs w:val="24"/>
          <w:lang w:val="uk-UA" w:eastAsia="ru-RU"/>
        </w:rPr>
        <w:t xml:space="preserve"> </w:t>
      </w:r>
      <w:r w:rsidR="00C82DB8" w:rsidRPr="0069769C">
        <w:rPr>
          <w:rFonts w:cs="Times New Roman"/>
          <w:sz w:val="24"/>
          <w:szCs w:val="24"/>
          <w:lang w:val="uk-UA"/>
        </w:rPr>
        <w:t>UA-2025-12-01-015639-a</w:t>
      </w:r>
      <w:r w:rsidRPr="0069769C">
        <w:rPr>
          <w:rFonts w:cs="Times New Roman"/>
          <w:sz w:val="24"/>
          <w:szCs w:val="24"/>
          <w:lang w:val="uk-UA"/>
        </w:rPr>
        <w:t>.</w:t>
      </w:r>
      <w:r w:rsidR="004034C7" w:rsidRPr="0069769C">
        <w:rPr>
          <w:rFonts w:eastAsia="Times New Roman" w:cs="Times New Roman"/>
          <w:iCs/>
          <w:sz w:val="24"/>
          <w:szCs w:val="24"/>
          <w:lang w:val="uk-UA" w:eastAsia="ru-RU"/>
        </w:rPr>
        <w:t xml:space="preserve">   </w:t>
      </w:r>
    </w:p>
    <w:p w:rsidR="00CA1CDA" w:rsidRPr="0069769C" w:rsidRDefault="00CA1CDA" w:rsidP="00CA1CDA">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Розмір бюджетного призначення:</w:t>
      </w:r>
      <w:r w:rsidRPr="0069769C">
        <w:rPr>
          <w:color w:val="000000"/>
          <w:lang w:val="uk-UA"/>
        </w:rPr>
        <w:t xml:space="preserve"> сформований з урахуванням обсягів наявної потреби у </w:t>
      </w:r>
      <w:r w:rsidR="004A7E97" w:rsidRPr="0069769C">
        <w:rPr>
          <w:color w:val="000000"/>
          <w:lang w:val="uk-UA"/>
        </w:rPr>
        <w:t>товарах</w:t>
      </w:r>
      <w:r w:rsidRPr="0069769C">
        <w:rPr>
          <w:color w:val="000000"/>
          <w:lang w:val="uk-UA"/>
        </w:rPr>
        <w:t xml:space="preserve"> за рахунок к</w:t>
      </w:r>
      <w:r w:rsidR="005A19DC" w:rsidRPr="0069769C">
        <w:rPr>
          <w:color w:val="000000"/>
          <w:lang w:val="uk-UA"/>
        </w:rPr>
        <w:t>оштів державного бюджету на 202</w:t>
      </w:r>
      <w:r w:rsidR="00630B12" w:rsidRPr="0069769C">
        <w:rPr>
          <w:color w:val="000000"/>
          <w:lang w:val="uk-UA"/>
        </w:rPr>
        <w:t>5</w:t>
      </w:r>
      <w:r w:rsidRPr="0069769C">
        <w:rPr>
          <w:color w:val="000000"/>
          <w:lang w:val="uk-UA"/>
        </w:rPr>
        <w:t xml:space="preserve"> рік.</w:t>
      </w:r>
    </w:p>
    <w:p w:rsidR="00CA1CDA" w:rsidRPr="0069769C" w:rsidRDefault="00CA1CDA" w:rsidP="00CA1CDA">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Очікувана вартість та обґрунтування очікуваної</w:t>
      </w:r>
    </w:p>
    <w:p w:rsidR="00CA1CDA" w:rsidRPr="0069769C" w:rsidRDefault="00CA1CDA" w:rsidP="00CA1CDA">
      <w:pPr>
        <w:pStyle w:val="a3"/>
        <w:shd w:val="clear" w:color="auto" w:fill="FFFFFF"/>
        <w:spacing w:before="0" w:beforeAutospacing="0" w:after="0" w:afterAutospacing="0"/>
        <w:jc w:val="both"/>
        <w:textAlignment w:val="baseline"/>
        <w:rPr>
          <w:color w:val="000000"/>
          <w:lang w:val="uk-UA"/>
        </w:rPr>
      </w:pPr>
      <w:r w:rsidRPr="0069769C">
        <w:rPr>
          <w:rStyle w:val="a5"/>
          <w:color w:val="000000"/>
          <w:bdr w:val="none" w:sz="0" w:space="0" w:color="auto" w:frame="1"/>
          <w:lang w:val="uk-UA"/>
        </w:rPr>
        <w:t>вартості предмета закупівлі:</w:t>
      </w:r>
      <w:r w:rsidRPr="0069769C">
        <w:rPr>
          <w:color w:val="000000"/>
          <w:lang w:val="uk-UA"/>
        </w:rPr>
        <w:t xml:space="preserve">  </w:t>
      </w:r>
      <w:r w:rsidR="00C82DB8" w:rsidRPr="0069769C">
        <w:rPr>
          <w:iCs/>
          <w:lang w:val="uk-UA"/>
        </w:rPr>
        <w:t>153473,4</w:t>
      </w:r>
      <w:r w:rsidR="00F239B2" w:rsidRPr="0069769C">
        <w:rPr>
          <w:iCs/>
          <w:lang w:val="uk-UA"/>
        </w:rPr>
        <w:t>0</w:t>
      </w:r>
      <w:r w:rsidR="004A7E97" w:rsidRPr="0069769C">
        <w:rPr>
          <w:iCs/>
          <w:lang w:val="uk-UA"/>
        </w:rPr>
        <w:t xml:space="preserve"> </w:t>
      </w:r>
      <w:r w:rsidRPr="0069769C">
        <w:rPr>
          <w:iCs/>
          <w:lang w:val="uk-UA"/>
        </w:rPr>
        <w:t>грн</w:t>
      </w:r>
      <w:r w:rsidRPr="0069769C">
        <w:rPr>
          <w:color w:val="000000"/>
          <w:lang w:val="uk-UA"/>
        </w:rPr>
        <w:t>.</w:t>
      </w:r>
    </w:p>
    <w:p w:rsidR="004A7E97" w:rsidRPr="0069769C" w:rsidRDefault="004A7E97" w:rsidP="00CA1CDA">
      <w:pPr>
        <w:pStyle w:val="a3"/>
        <w:shd w:val="clear" w:color="auto" w:fill="FFFFFF"/>
        <w:spacing w:before="0" w:beforeAutospacing="0" w:after="225" w:afterAutospacing="0"/>
        <w:jc w:val="both"/>
        <w:textAlignment w:val="baseline"/>
        <w:rPr>
          <w:lang w:val="uk-UA"/>
        </w:rPr>
      </w:pPr>
      <w:r w:rsidRPr="0069769C">
        <w:rPr>
          <w:lang w:val="uk-UA"/>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інформації з системи </w:t>
      </w:r>
      <w:proofErr w:type="spellStart"/>
      <w:r w:rsidRPr="0069769C">
        <w:rPr>
          <w:lang w:val="uk-UA"/>
        </w:rPr>
        <w:t>Prozorro</w:t>
      </w:r>
      <w:proofErr w:type="spellEnd"/>
      <w:r w:rsidRPr="0069769C">
        <w:rPr>
          <w:lang w:val="uk-UA"/>
        </w:rPr>
        <w:t xml:space="preserve"> та досвіду з попередніх закупівель.</w:t>
      </w:r>
    </w:p>
    <w:p w:rsidR="00143CEF" w:rsidRPr="0069769C" w:rsidRDefault="002005E6" w:rsidP="00CA1CDA">
      <w:pPr>
        <w:pStyle w:val="a3"/>
        <w:shd w:val="clear" w:color="auto" w:fill="FFFFFF"/>
        <w:spacing w:before="0" w:beforeAutospacing="0" w:after="225" w:afterAutospacing="0"/>
        <w:jc w:val="both"/>
        <w:textAlignment w:val="baseline"/>
        <w:rPr>
          <w:rStyle w:val="a5"/>
          <w:color w:val="000000"/>
          <w:bdr w:val="none" w:sz="0" w:space="0" w:color="auto" w:frame="1"/>
          <w:shd w:val="clear" w:color="auto" w:fill="FFFFFF"/>
          <w:lang w:val="uk-UA"/>
        </w:rPr>
      </w:pPr>
      <w:r w:rsidRPr="0069769C">
        <w:rPr>
          <w:rStyle w:val="a5"/>
          <w:color w:val="000000"/>
          <w:bdr w:val="none" w:sz="0" w:space="0" w:color="auto" w:frame="1"/>
          <w:shd w:val="clear" w:color="auto" w:fill="FFFFFF"/>
          <w:lang w:val="uk-UA"/>
        </w:rPr>
        <w:t>Обґрунтування технічних, якісних характеристик. </w:t>
      </w:r>
    </w:p>
    <w:p w:rsidR="0069769C" w:rsidRPr="0069769C" w:rsidRDefault="004A7E97" w:rsidP="0069769C">
      <w:pPr>
        <w:pBdr>
          <w:top w:val="nil"/>
          <w:left w:val="nil"/>
          <w:bottom w:val="nil"/>
          <w:right w:val="nil"/>
          <w:between w:val="nil"/>
        </w:pBdr>
        <w:spacing w:before="240" w:after="0"/>
        <w:ind w:hanging="2"/>
        <w:jc w:val="center"/>
        <w:rPr>
          <w:rFonts w:eastAsia="Times New Roman" w:cs="Times New Roman"/>
          <w:color w:val="000000"/>
          <w:sz w:val="24"/>
          <w:szCs w:val="24"/>
          <w:highlight w:val="white"/>
          <w:lang w:val="uk-UA"/>
        </w:rPr>
      </w:pPr>
      <w:r w:rsidRPr="0069769C">
        <w:rPr>
          <w:rFonts w:eastAsia="Times New Roman" w:cs="Times New Roman"/>
          <w:sz w:val="24"/>
          <w:szCs w:val="24"/>
          <w:lang w:val="uk-UA"/>
        </w:rPr>
        <w:tab/>
      </w:r>
    </w:p>
    <w:p w:rsidR="0069769C" w:rsidRPr="0069769C" w:rsidRDefault="0069769C" w:rsidP="0069769C">
      <w:pPr>
        <w:pBdr>
          <w:top w:val="nil"/>
          <w:left w:val="nil"/>
          <w:bottom w:val="nil"/>
          <w:right w:val="nil"/>
          <w:between w:val="nil"/>
        </w:pBdr>
        <w:spacing w:after="0"/>
        <w:ind w:hanging="2"/>
        <w:jc w:val="both"/>
        <w:rPr>
          <w:rFonts w:eastAsia="Times New Roman" w:cs="Times New Roman"/>
          <w:color w:val="000000"/>
          <w:sz w:val="24"/>
          <w:szCs w:val="24"/>
          <w:lang w:val="uk-UA"/>
        </w:rPr>
      </w:pPr>
      <w:r w:rsidRPr="0069769C">
        <w:rPr>
          <w:rFonts w:eastAsia="Times New Roman" w:cs="Times New Roman"/>
          <w:color w:val="000000"/>
          <w:sz w:val="24"/>
          <w:szCs w:val="24"/>
          <w:lang w:val="uk-UA"/>
        </w:rPr>
        <w:t xml:space="preserve">Замовник самостійно визначає необхідні технічні характеристики предмета закупівлі </w:t>
      </w:r>
      <w:r w:rsidRPr="0069769C">
        <w:rPr>
          <w:rFonts w:eastAsia="Times New Roman" w:cs="Times New Roman"/>
          <w:sz w:val="24"/>
          <w:szCs w:val="24"/>
          <w:lang w:val="uk-UA"/>
        </w:rPr>
        <w:t>з огляду на</w:t>
      </w:r>
      <w:r w:rsidRPr="0069769C">
        <w:rPr>
          <w:rFonts w:eastAsia="Times New Roman" w:cs="Times New Roman"/>
          <w:color w:val="000000"/>
          <w:sz w:val="24"/>
          <w:szCs w:val="24"/>
          <w:lang w:val="uk-UA"/>
        </w:rPr>
        <w:t xml:space="preserve"> специфік</w:t>
      </w:r>
      <w:r w:rsidRPr="0069769C">
        <w:rPr>
          <w:rFonts w:eastAsia="Times New Roman" w:cs="Times New Roman"/>
          <w:sz w:val="24"/>
          <w:szCs w:val="24"/>
          <w:lang w:val="uk-UA"/>
        </w:rPr>
        <w:t>у</w:t>
      </w:r>
      <w:r w:rsidRPr="0069769C">
        <w:rPr>
          <w:rFonts w:eastAsia="Times New Roman" w:cs="Times New Roman"/>
          <w:color w:val="000000"/>
          <w:sz w:val="24"/>
          <w:szCs w:val="24"/>
          <w:lang w:val="uk-UA"/>
        </w:rPr>
        <w:t xml:space="preserve"> предмета закупівлі, керуючись принципами здійснення закупівель та з дотриманням законодавства.</w:t>
      </w:r>
    </w:p>
    <w:p w:rsidR="0069769C" w:rsidRPr="0069769C" w:rsidRDefault="0069769C" w:rsidP="0069769C">
      <w:pPr>
        <w:pBdr>
          <w:top w:val="nil"/>
          <w:left w:val="nil"/>
          <w:bottom w:val="nil"/>
          <w:right w:val="nil"/>
          <w:between w:val="nil"/>
        </w:pBdr>
        <w:spacing w:after="0"/>
        <w:ind w:hanging="2"/>
        <w:jc w:val="both"/>
        <w:rPr>
          <w:rFonts w:eastAsia="Times New Roman" w:cs="Times New Roman"/>
          <w:color w:val="000000"/>
          <w:sz w:val="24"/>
          <w:szCs w:val="24"/>
          <w:lang w:val="uk-UA"/>
        </w:rPr>
      </w:pPr>
      <w:r w:rsidRPr="0069769C">
        <w:rPr>
          <w:rFonts w:eastAsia="Times New Roman" w:cs="Times New Roman"/>
          <w:b/>
          <w:color w:val="000000"/>
          <w:sz w:val="24"/>
          <w:szCs w:val="24"/>
          <w:lang w:val="uk-UA"/>
        </w:rPr>
        <w:t>Фактом подання тендерної пропозиції учасник підтверджує відповідність своєї пропозиції</w:t>
      </w:r>
      <w:r w:rsidRPr="0069769C">
        <w:rPr>
          <w:rFonts w:eastAsia="Times New Roman" w:cs="Times New Roman"/>
          <w:color w:val="000000"/>
          <w:sz w:val="24"/>
          <w:szCs w:val="24"/>
          <w:lang w:val="uk-UA"/>
        </w:rPr>
        <w:t xml:space="preserve"> </w:t>
      </w:r>
      <w:r w:rsidRPr="0069769C">
        <w:rPr>
          <w:rFonts w:eastAsia="Times New Roman" w:cs="Times New Roman"/>
          <w:b/>
          <w:color w:val="000000"/>
          <w:sz w:val="24"/>
          <w:szCs w:val="24"/>
          <w:lang w:val="uk-UA"/>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69769C">
        <w:rPr>
          <w:rFonts w:eastAsia="Times New Roman" w:cs="Times New Roman"/>
          <w:b/>
          <w:sz w:val="24"/>
          <w:szCs w:val="24"/>
          <w:lang w:val="uk-UA"/>
        </w:rPr>
        <w:t>а</w:t>
      </w:r>
      <w:r w:rsidRPr="0069769C">
        <w:rPr>
          <w:rFonts w:eastAsia="Times New Roman" w:cs="Times New Roman"/>
          <w:b/>
          <w:color w:val="000000"/>
          <w:sz w:val="24"/>
          <w:szCs w:val="24"/>
          <w:lang w:val="uk-UA"/>
        </w:rPr>
        <w:t xml:space="preserve"> закупівлі, що містяться в тендерній документації та цьому додатку, а також підтверджує можливість поставки товару</w:t>
      </w:r>
      <w:r w:rsidRPr="0069769C">
        <w:rPr>
          <w:rFonts w:eastAsia="Times New Roman" w:cs="Times New Roman"/>
          <w:b/>
          <w:sz w:val="24"/>
          <w:szCs w:val="24"/>
          <w:lang w:val="uk-UA"/>
        </w:rPr>
        <w:t xml:space="preserve"> в</w:t>
      </w:r>
      <w:r w:rsidRPr="0069769C">
        <w:rPr>
          <w:rFonts w:eastAsia="Times New Roman" w:cs="Times New Roman"/>
          <w:b/>
          <w:color w:val="000000"/>
          <w:sz w:val="24"/>
          <w:szCs w:val="24"/>
          <w:lang w:val="uk-UA"/>
        </w:rPr>
        <w:t>ідповідно до вимог, визначених згідно з умовами тендерної документації.</w:t>
      </w:r>
    </w:p>
    <w:p w:rsidR="0069769C" w:rsidRPr="0069769C" w:rsidRDefault="0069769C" w:rsidP="0069769C">
      <w:pPr>
        <w:pBdr>
          <w:top w:val="nil"/>
          <w:left w:val="nil"/>
          <w:bottom w:val="nil"/>
          <w:right w:val="nil"/>
          <w:between w:val="nil"/>
        </w:pBdr>
        <w:spacing w:after="0"/>
        <w:ind w:hanging="2"/>
        <w:jc w:val="both"/>
        <w:rPr>
          <w:rFonts w:eastAsia="Times New Roman" w:cs="Times New Roman"/>
          <w:color w:val="000000"/>
          <w:sz w:val="24"/>
          <w:szCs w:val="24"/>
          <w:lang w:val="uk-UA"/>
        </w:rPr>
      </w:pPr>
      <w:r w:rsidRPr="0069769C">
        <w:rPr>
          <w:rFonts w:eastAsia="Times New Roman" w:cs="Times New Roman"/>
          <w:sz w:val="24"/>
          <w:szCs w:val="24"/>
          <w:highlight w:val="white"/>
          <w:lang w:val="uk-UA"/>
        </w:rPr>
        <w:t>У</w:t>
      </w:r>
      <w:r w:rsidRPr="0069769C">
        <w:rPr>
          <w:rFonts w:eastAsia="Times New Roman" w:cs="Times New Roman"/>
          <w:color w:val="000000"/>
          <w:sz w:val="24"/>
          <w:szCs w:val="24"/>
          <w:highlight w:val="white"/>
          <w:lang w:val="uk-UA"/>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69769C">
        <w:rPr>
          <w:rFonts w:eastAsia="Times New Roman" w:cs="Times New Roman"/>
          <w:b/>
          <w:sz w:val="24"/>
          <w:szCs w:val="24"/>
          <w:highlight w:val="white"/>
          <w:lang w:val="uk-UA"/>
        </w:rPr>
        <w:t>«</w:t>
      </w:r>
      <w:r w:rsidRPr="0069769C">
        <w:rPr>
          <w:rFonts w:eastAsia="Times New Roman" w:cs="Times New Roman"/>
          <w:b/>
          <w:color w:val="000000"/>
          <w:sz w:val="24"/>
          <w:szCs w:val="24"/>
          <w:highlight w:val="white"/>
          <w:lang w:val="uk-UA"/>
        </w:rPr>
        <w:t>або еквівалент</w:t>
      </w:r>
      <w:r w:rsidRPr="0069769C">
        <w:rPr>
          <w:rFonts w:eastAsia="Times New Roman" w:cs="Times New Roman"/>
          <w:b/>
          <w:sz w:val="24"/>
          <w:szCs w:val="24"/>
          <w:highlight w:val="white"/>
          <w:lang w:val="uk-UA"/>
        </w:rPr>
        <w:t>»</w:t>
      </w:r>
      <w:r w:rsidRPr="0069769C">
        <w:rPr>
          <w:rFonts w:eastAsia="Times New Roman" w:cs="Times New Roman"/>
          <w:color w:val="000000"/>
          <w:sz w:val="24"/>
          <w:szCs w:val="24"/>
          <w:highlight w:val="white"/>
          <w:lang w:val="uk-UA"/>
        </w:rPr>
        <w:t>.</w:t>
      </w:r>
    </w:p>
    <w:p w:rsidR="0069769C" w:rsidRPr="0069769C" w:rsidRDefault="0069769C" w:rsidP="0069769C">
      <w:pPr>
        <w:pBdr>
          <w:top w:val="nil"/>
          <w:left w:val="nil"/>
          <w:bottom w:val="nil"/>
          <w:right w:val="nil"/>
          <w:between w:val="nil"/>
        </w:pBdr>
        <w:spacing w:after="0"/>
        <w:ind w:hanging="2"/>
        <w:jc w:val="both"/>
        <w:rPr>
          <w:rFonts w:eastAsia="Times New Roman" w:cs="Times New Roman"/>
          <w:b/>
          <w:color w:val="000000"/>
          <w:sz w:val="24"/>
          <w:szCs w:val="24"/>
          <w:lang w:val="uk-UA"/>
        </w:rPr>
      </w:pPr>
      <w:r w:rsidRPr="0069769C">
        <w:rPr>
          <w:rFonts w:eastAsia="Times New Roman" w:cs="Times New Roman"/>
          <w:sz w:val="24"/>
          <w:szCs w:val="24"/>
          <w:highlight w:val="white"/>
          <w:lang w:val="uk-UA"/>
        </w:rPr>
        <w:lastRenderedPageBreak/>
        <w:t>У</w:t>
      </w:r>
      <w:r w:rsidRPr="0069769C">
        <w:rPr>
          <w:rFonts w:eastAsia="Times New Roman" w:cs="Times New Roman"/>
          <w:color w:val="000000"/>
          <w:sz w:val="24"/>
          <w:szCs w:val="24"/>
          <w:highlight w:val="white"/>
          <w:lang w:val="uk-UA"/>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9769C">
        <w:rPr>
          <w:rFonts w:eastAsia="Times New Roman" w:cs="Times New Roman"/>
          <w:b/>
          <w:color w:val="000000"/>
          <w:sz w:val="24"/>
          <w:szCs w:val="24"/>
          <w:highlight w:val="white"/>
          <w:lang w:val="uk-UA"/>
        </w:rPr>
        <w:t>Таким чином, вважається, що до кожного посилання додається вираз «або еквівалент».</w:t>
      </w:r>
    </w:p>
    <w:p w:rsidR="0069769C" w:rsidRPr="0069769C" w:rsidRDefault="0069769C" w:rsidP="0069769C">
      <w:pPr>
        <w:pBdr>
          <w:top w:val="nil"/>
          <w:left w:val="nil"/>
          <w:bottom w:val="nil"/>
          <w:right w:val="nil"/>
          <w:between w:val="nil"/>
        </w:pBdr>
        <w:spacing w:after="0"/>
        <w:ind w:hanging="2"/>
        <w:jc w:val="both"/>
        <w:rPr>
          <w:rFonts w:eastAsia="Times New Roman" w:cs="Times New Roman"/>
          <w:b/>
          <w:color w:val="000000"/>
          <w:sz w:val="24"/>
          <w:szCs w:val="24"/>
          <w:lang w:val="uk-UA"/>
        </w:rPr>
      </w:pPr>
      <w:r w:rsidRPr="0069769C">
        <w:rPr>
          <w:rFonts w:eastAsia="Times New Roman" w:cs="Times New Roman"/>
          <w:color w:val="000000"/>
          <w:sz w:val="24"/>
          <w:szCs w:val="24"/>
          <w:lang w:val="uk-U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9769C" w:rsidRPr="0069769C" w:rsidRDefault="0069769C" w:rsidP="0069769C">
      <w:pPr>
        <w:pBdr>
          <w:top w:val="nil"/>
          <w:left w:val="nil"/>
          <w:bottom w:val="nil"/>
          <w:right w:val="nil"/>
          <w:between w:val="nil"/>
        </w:pBdr>
        <w:shd w:val="clear" w:color="auto" w:fill="FFFFFF"/>
        <w:spacing w:after="0"/>
        <w:ind w:hanging="2"/>
        <w:jc w:val="both"/>
        <w:rPr>
          <w:rFonts w:eastAsia="Times New Roman" w:cs="Times New Roman"/>
          <w:color w:val="000000"/>
          <w:sz w:val="24"/>
          <w:szCs w:val="24"/>
          <w:lang w:val="uk-UA"/>
        </w:rPr>
      </w:pPr>
    </w:p>
    <w:p w:rsidR="0069769C" w:rsidRPr="0069769C" w:rsidRDefault="0069769C" w:rsidP="0069769C">
      <w:pPr>
        <w:numPr>
          <w:ilvl w:val="0"/>
          <w:numId w:val="15"/>
        </w:numPr>
        <w:pBdr>
          <w:top w:val="nil"/>
          <w:left w:val="nil"/>
          <w:bottom w:val="nil"/>
          <w:right w:val="nil"/>
          <w:between w:val="nil"/>
        </w:pBdr>
        <w:tabs>
          <w:tab w:val="left" w:pos="851"/>
        </w:tabs>
        <w:suppressAutoHyphens/>
        <w:spacing w:line="259" w:lineRule="auto"/>
        <w:ind w:leftChars="-1" w:left="-1" w:hangingChars="1" w:hanging="2"/>
        <w:textDirection w:val="btLr"/>
        <w:textAlignment w:val="top"/>
        <w:outlineLvl w:val="0"/>
        <w:rPr>
          <w:rFonts w:eastAsia="Times New Roman" w:cs="Times New Roman"/>
          <w:color w:val="000000"/>
          <w:sz w:val="24"/>
          <w:szCs w:val="24"/>
          <w:lang w:val="uk-UA"/>
        </w:rPr>
      </w:pPr>
      <w:r w:rsidRPr="0069769C">
        <w:rPr>
          <w:rFonts w:eastAsia="Times New Roman" w:cs="Times New Roman"/>
          <w:b/>
          <w:color w:val="000000"/>
          <w:sz w:val="24"/>
          <w:szCs w:val="24"/>
          <w:lang w:val="uk-UA"/>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0"/>
        <w:gridCol w:w="5265"/>
      </w:tblGrid>
      <w:tr w:rsidR="0069769C" w:rsidRPr="0069769C" w:rsidTr="00AC1C23">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sz w:val="24"/>
                <w:szCs w:val="24"/>
                <w:lang w:val="uk-UA"/>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Природний газ</w:t>
            </w:r>
          </w:p>
        </w:tc>
      </w:tr>
      <w:tr w:rsidR="0069769C" w:rsidRPr="0069769C" w:rsidTr="00AC1C23">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 xml:space="preserve">Код </w:t>
            </w:r>
            <w:proofErr w:type="spellStart"/>
            <w:r w:rsidRPr="0069769C">
              <w:rPr>
                <w:rFonts w:eastAsia="Times New Roman" w:cs="Times New Roman"/>
                <w:color w:val="000000"/>
                <w:sz w:val="24"/>
                <w:szCs w:val="24"/>
                <w:lang w:val="uk-UA"/>
              </w:rPr>
              <w:t>ДК</w:t>
            </w:r>
            <w:proofErr w:type="spellEnd"/>
            <w:r w:rsidRPr="0069769C">
              <w:rPr>
                <w:rFonts w:eastAsia="Times New Roman" w:cs="Times New Roman"/>
                <w:color w:val="000000"/>
                <w:sz w:val="24"/>
                <w:szCs w:val="24"/>
                <w:lang w:val="uk-UA"/>
              </w:rPr>
              <w:t xml:space="preserve">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09120000-6 – газове паливо</w:t>
            </w:r>
          </w:p>
        </w:tc>
      </w:tr>
      <w:tr w:rsidR="0069769C" w:rsidRPr="0069769C" w:rsidTr="00AC1C23">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bookmarkStart w:id="0" w:name="_heading=h.gjdgxs" w:colFirst="0" w:colLast="0"/>
            <w:bookmarkEnd w:id="0"/>
            <w:r w:rsidRPr="0069769C">
              <w:rPr>
                <w:rFonts w:eastAsia="Times New Roman" w:cs="Times New Roman"/>
                <w:sz w:val="24"/>
                <w:szCs w:val="24"/>
                <w:lang w:val="uk-UA"/>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sz w:val="24"/>
                <w:szCs w:val="24"/>
                <w:lang w:val="uk-UA"/>
              </w:rPr>
              <w:t>природний газ: 09123000-7 – природний газ</w:t>
            </w:r>
          </w:p>
        </w:tc>
      </w:tr>
      <w:tr w:rsidR="0069769C" w:rsidRPr="0069769C" w:rsidTr="00AC1C23">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69769C" w:rsidRPr="0069769C" w:rsidRDefault="0069769C" w:rsidP="00AC1C23">
            <w:pPr>
              <w:pBdr>
                <w:top w:val="nil"/>
                <w:left w:val="nil"/>
                <w:bottom w:val="nil"/>
                <w:right w:val="nil"/>
                <w:between w:val="nil"/>
              </w:pBdr>
              <w:spacing w:after="0"/>
              <w:ind w:hanging="2"/>
              <w:jc w:val="both"/>
              <w:rPr>
                <w:rFonts w:eastAsia="Times New Roman" w:cs="Times New Roman"/>
                <w:sz w:val="24"/>
                <w:szCs w:val="24"/>
                <w:lang w:val="uk-UA"/>
              </w:rPr>
            </w:pPr>
            <w:r w:rsidRPr="0069769C">
              <w:rPr>
                <w:rFonts w:eastAsia="Times New Roman" w:cs="Times New Roman"/>
                <w:sz w:val="24"/>
                <w:szCs w:val="24"/>
                <w:lang w:val="uk-UA"/>
              </w:rPr>
              <w:t xml:space="preserve">тис. </w:t>
            </w:r>
            <w:proofErr w:type="spellStart"/>
            <w:r w:rsidRPr="0069769C">
              <w:rPr>
                <w:rFonts w:eastAsia="Times New Roman" w:cs="Times New Roman"/>
                <w:sz w:val="24"/>
                <w:szCs w:val="24"/>
                <w:lang w:val="uk-UA"/>
              </w:rPr>
              <w:t>куб.метрів</w:t>
            </w:r>
            <w:proofErr w:type="spellEnd"/>
          </w:p>
        </w:tc>
      </w:tr>
      <w:tr w:rsidR="0069769C" w:rsidRPr="0069769C" w:rsidTr="00AC1C23">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4A86E8"/>
                <w:sz w:val="24"/>
                <w:szCs w:val="24"/>
                <w:highlight w:val="yellow"/>
                <w:lang w:val="uk-UA"/>
              </w:rPr>
            </w:pPr>
            <w:r w:rsidRPr="0069769C">
              <w:rPr>
                <w:rFonts w:eastAsia="Times New Roman" w:cs="Times New Roman"/>
                <w:color w:val="000000"/>
                <w:sz w:val="24"/>
                <w:szCs w:val="24"/>
                <w:lang w:val="uk-UA"/>
              </w:rPr>
              <w:t>Кількість (обсяг)</w:t>
            </w:r>
          </w:p>
        </w:tc>
        <w:tc>
          <w:tcPr>
            <w:tcW w:w="5265"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spacing w:after="0"/>
              <w:ind w:hanging="2"/>
              <w:jc w:val="both"/>
              <w:rPr>
                <w:rFonts w:eastAsia="Times New Roman" w:cs="Times New Roman"/>
                <w:color w:val="000000"/>
                <w:sz w:val="24"/>
                <w:szCs w:val="24"/>
                <w:highlight w:val="yellow"/>
                <w:lang w:val="uk-UA"/>
              </w:rPr>
            </w:pPr>
            <w:r w:rsidRPr="0069769C">
              <w:rPr>
                <w:rFonts w:eastAsia="Times New Roman" w:cs="Times New Roman"/>
                <w:sz w:val="24"/>
                <w:szCs w:val="24"/>
                <w:lang w:val="uk-UA"/>
              </w:rPr>
              <w:t xml:space="preserve">9 тис.  </w:t>
            </w:r>
            <w:proofErr w:type="spellStart"/>
            <w:r w:rsidRPr="0069769C">
              <w:rPr>
                <w:rFonts w:eastAsia="Times New Roman" w:cs="Times New Roman"/>
                <w:sz w:val="24"/>
                <w:szCs w:val="24"/>
                <w:lang w:val="uk-UA"/>
              </w:rPr>
              <w:t>куб.метрів</w:t>
            </w:r>
            <w:proofErr w:type="spellEnd"/>
          </w:p>
        </w:tc>
      </w:tr>
      <w:tr w:rsidR="0069769C" w:rsidRPr="0069769C" w:rsidTr="00AC1C23">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69769C" w:rsidRPr="0069769C" w:rsidRDefault="0069769C" w:rsidP="00AC1C23">
            <w:pPr>
              <w:widowControl w:val="0"/>
              <w:spacing w:after="0"/>
              <w:ind w:right="119"/>
              <w:contextualSpacing/>
              <w:jc w:val="both"/>
              <w:rPr>
                <w:rFonts w:eastAsia="Times New Roman" w:cs="Times New Roman"/>
                <w:sz w:val="24"/>
                <w:szCs w:val="24"/>
                <w:lang w:val="uk-UA" w:eastAsia="uk-UA"/>
              </w:rPr>
            </w:pPr>
            <w:r w:rsidRPr="0069769C">
              <w:rPr>
                <w:rFonts w:eastAsia="Times New Roman" w:cs="Times New Roman"/>
                <w:sz w:val="24"/>
                <w:szCs w:val="24"/>
                <w:lang w:val="uk-UA" w:eastAsia="uk-UA"/>
              </w:rPr>
              <w:t>місто Львів, вул. Руданського,3; місто Львів, вул. Зелена,20, місто Львів, вул. Зелена,150 та Івано-Франківська обл.., місто Коломия, вул. Лесі Українки, 41.</w:t>
            </w:r>
          </w:p>
        </w:tc>
      </w:tr>
      <w:tr w:rsidR="0069769C" w:rsidRPr="0069769C" w:rsidTr="00AC1C23">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69769C" w:rsidRPr="0069769C" w:rsidRDefault="0069769C" w:rsidP="00AC1C23">
            <w:pPr>
              <w:pBdr>
                <w:top w:val="nil"/>
                <w:left w:val="nil"/>
                <w:bottom w:val="nil"/>
                <w:right w:val="nil"/>
                <w:between w:val="nil"/>
              </w:pBdr>
              <w:ind w:hanging="2"/>
              <w:rPr>
                <w:rFonts w:eastAsia="Times New Roman" w:cs="Times New Roman"/>
                <w:color w:val="000000"/>
                <w:sz w:val="24"/>
                <w:szCs w:val="24"/>
                <w:lang w:val="uk-UA"/>
              </w:rPr>
            </w:pPr>
            <w:r w:rsidRPr="0069769C">
              <w:rPr>
                <w:rFonts w:eastAsia="Times New Roman" w:cs="Times New Roman"/>
                <w:color w:val="000000"/>
                <w:sz w:val="24"/>
                <w:szCs w:val="24"/>
                <w:lang w:val="uk-UA"/>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69769C" w:rsidRPr="0069769C" w:rsidRDefault="0069769C" w:rsidP="00AC1C23">
            <w:pPr>
              <w:pBdr>
                <w:top w:val="nil"/>
                <w:left w:val="nil"/>
                <w:bottom w:val="nil"/>
                <w:right w:val="nil"/>
                <w:between w:val="nil"/>
              </w:pBdr>
              <w:spacing w:after="0"/>
              <w:ind w:hanging="2"/>
              <w:jc w:val="both"/>
              <w:rPr>
                <w:rFonts w:eastAsia="Times New Roman" w:cs="Times New Roman"/>
                <w:color w:val="000000"/>
                <w:sz w:val="24"/>
                <w:szCs w:val="24"/>
                <w:lang w:val="uk-UA"/>
              </w:rPr>
            </w:pPr>
            <w:r w:rsidRPr="0069769C">
              <w:rPr>
                <w:rFonts w:eastAsia="Times New Roman" w:cs="Times New Roman"/>
                <w:color w:val="000000"/>
                <w:sz w:val="24"/>
                <w:szCs w:val="24"/>
                <w:lang w:val="uk-UA"/>
              </w:rPr>
              <w:t>З 01 січня 2026 року до  31 березня  2026 року включно</w:t>
            </w:r>
          </w:p>
        </w:tc>
      </w:tr>
    </w:tbl>
    <w:p w:rsidR="0069769C" w:rsidRPr="0069769C" w:rsidRDefault="0069769C" w:rsidP="0069769C">
      <w:pPr>
        <w:pBdr>
          <w:top w:val="nil"/>
          <w:left w:val="nil"/>
          <w:bottom w:val="nil"/>
          <w:right w:val="nil"/>
          <w:between w:val="nil"/>
        </w:pBdr>
        <w:tabs>
          <w:tab w:val="left" w:pos="284"/>
        </w:tabs>
        <w:spacing w:after="0"/>
        <w:ind w:hanging="2"/>
        <w:jc w:val="both"/>
        <w:rPr>
          <w:rFonts w:eastAsia="Times New Roman" w:cs="Times New Roman"/>
          <w:color w:val="000000"/>
          <w:sz w:val="24"/>
          <w:szCs w:val="24"/>
          <w:lang w:val="uk-UA"/>
        </w:rPr>
      </w:pPr>
    </w:p>
    <w:p w:rsidR="0069769C" w:rsidRPr="0069769C" w:rsidRDefault="0069769C" w:rsidP="0069769C">
      <w:pPr>
        <w:numPr>
          <w:ilvl w:val="0"/>
          <w:numId w:val="15"/>
        </w:numPr>
        <w:tabs>
          <w:tab w:val="left" w:pos="284"/>
          <w:tab w:val="left" w:pos="993"/>
          <w:tab w:val="left" w:pos="1560"/>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b/>
          <w:sz w:val="24"/>
          <w:szCs w:val="24"/>
          <w:lang w:val="uk-UA"/>
        </w:rPr>
        <w:t>Постачання природного газу, його технічні та якісні характеристики повинні відповідати  нормам чинного законодавства України:</w:t>
      </w:r>
    </w:p>
    <w:p w:rsidR="0069769C" w:rsidRPr="0069769C" w:rsidRDefault="0069769C" w:rsidP="0069769C">
      <w:pPr>
        <w:numPr>
          <w:ilvl w:val="0"/>
          <w:numId w:val="14"/>
        </w:numPr>
        <w:tabs>
          <w:tab w:val="left" w:pos="284"/>
          <w:tab w:val="left" w:pos="993"/>
          <w:tab w:val="left" w:pos="1560"/>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sz w:val="24"/>
          <w:szCs w:val="24"/>
          <w:lang w:val="uk-UA"/>
        </w:rPr>
        <w:t>Закону України «Про ринок природного газу» № 329-VIII від 09.04.2015;</w:t>
      </w:r>
    </w:p>
    <w:p w:rsidR="0069769C" w:rsidRPr="0069769C" w:rsidRDefault="0069769C" w:rsidP="0069769C">
      <w:pPr>
        <w:numPr>
          <w:ilvl w:val="0"/>
          <w:numId w:val="14"/>
        </w:numPr>
        <w:tabs>
          <w:tab w:val="left" w:pos="284"/>
          <w:tab w:val="left" w:pos="1118"/>
          <w:tab w:val="left" w:pos="1688"/>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sz w:val="24"/>
          <w:szCs w:val="24"/>
          <w:lang w:val="uk-UA"/>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69769C" w:rsidRPr="0069769C" w:rsidRDefault="0069769C" w:rsidP="0069769C">
      <w:pPr>
        <w:numPr>
          <w:ilvl w:val="0"/>
          <w:numId w:val="14"/>
        </w:numPr>
        <w:tabs>
          <w:tab w:val="left" w:pos="284"/>
          <w:tab w:val="left" w:pos="1118"/>
          <w:tab w:val="left" w:pos="1688"/>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sz w:val="24"/>
          <w:szCs w:val="24"/>
          <w:lang w:val="uk-UA"/>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69769C" w:rsidRPr="0069769C" w:rsidRDefault="0069769C" w:rsidP="0069769C">
      <w:pPr>
        <w:numPr>
          <w:ilvl w:val="0"/>
          <w:numId w:val="14"/>
        </w:numPr>
        <w:tabs>
          <w:tab w:val="left" w:pos="284"/>
          <w:tab w:val="left" w:pos="1118"/>
          <w:tab w:val="left" w:pos="1688"/>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sz w:val="24"/>
          <w:szCs w:val="24"/>
          <w:lang w:val="uk-UA"/>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69769C" w:rsidRPr="0069769C" w:rsidRDefault="0069769C" w:rsidP="0069769C">
      <w:pPr>
        <w:numPr>
          <w:ilvl w:val="0"/>
          <w:numId w:val="14"/>
        </w:numPr>
        <w:tabs>
          <w:tab w:val="left" w:pos="284"/>
          <w:tab w:val="left" w:pos="1118"/>
          <w:tab w:val="left" w:pos="1688"/>
        </w:tabs>
        <w:suppressAutoHyphens/>
        <w:spacing w:after="0" w:line="259" w:lineRule="auto"/>
        <w:ind w:leftChars="-1" w:left="-1" w:hangingChars="1" w:hanging="2"/>
        <w:jc w:val="both"/>
        <w:textDirection w:val="btLr"/>
        <w:textAlignment w:val="top"/>
        <w:outlineLvl w:val="0"/>
        <w:rPr>
          <w:rFonts w:eastAsia="Times New Roman" w:cs="Times New Roman"/>
          <w:sz w:val="24"/>
          <w:szCs w:val="24"/>
          <w:lang w:val="uk-UA"/>
        </w:rPr>
      </w:pPr>
      <w:r w:rsidRPr="0069769C">
        <w:rPr>
          <w:rFonts w:eastAsia="Times New Roman" w:cs="Times New Roman"/>
          <w:sz w:val="24"/>
          <w:szCs w:val="24"/>
          <w:lang w:val="uk-UA"/>
        </w:rPr>
        <w:lastRenderedPageBreak/>
        <w:t>Іншим нормативно-правовим актам, прийнятим на виконання Закону України «Про ринок природного газу».</w:t>
      </w:r>
    </w:p>
    <w:p w:rsidR="0069769C" w:rsidRPr="0069769C" w:rsidRDefault="0069769C" w:rsidP="0069769C">
      <w:pPr>
        <w:pBdr>
          <w:top w:val="nil"/>
          <w:left w:val="nil"/>
          <w:bottom w:val="nil"/>
          <w:right w:val="nil"/>
          <w:between w:val="nil"/>
        </w:pBdr>
        <w:ind w:hanging="2"/>
        <w:rPr>
          <w:rFonts w:eastAsia="Times New Roman" w:cs="Times New Roman"/>
          <w:color w:val="000000"/>
          <w:sz w:val="24"/>
          <w:szCs w:val="24"/>
          <w:lang w:val="uk-UA"/>
        </w:rPr>
      </w:pPr>
    </w:p>
    <w:p w:rsidR="0069769C" w:rsidRPr="0069769C" w:rsidRDefault="0069769C" w:rsidP="0069769C">
      <w:pPr>
        <w:numPr>
          <w:ilvl w:val="0"/>
          <w:numId w:val="15"/>
        </w:numPr>
        <w:pBdr>
          <w:top w:val="nil"/>
          <w:left w:val="nil"/>
          <w:bottom w:val="nil"/>
          <w:right w:val="nil"/>
          <w:between w:val="nil"/>
        </w:pBdr>
        <w:tabs>
          <w:tab w:val="left" w:pos="993"/>
        </w:tabs>
        <w:suppressAutoHyphens/>
        <w:spacing w:after="0" w:line="259" w:lineRule="auto"/>
        <w:ind w:leftChars="-1" w:left="-1" w:hangingChars="1" w:hanging="2"/>
        <w:textDirection w:val="btLr"/>
        <w:textAlignment w:val="top"/>
        <w:outlineLvl w:val="0"/>
        <w:rPr>
          <w:rFonts w:eastAsia="Times New Roman" w:cs="Times New Roman"/>
          <w:color w:val="000000"/>
          <w:sz w:val="24"/>
          <w:szCs w:val="24"/>
          <w:lang w:val="uk-UA"/>
        </w:rPr>
      </w:pPr>
      <w:r w:rsidRPr="0069769C">
        <w:rPr>
          <w:rFonts w:eastAsia="Times New Roman" w:cs="Times New Roman"/>
          <w:b/>
          <w:color w:val="000000"/>
          <w:sz w:val="24"/>
          <w:szCs w:val="24"/>
          <w:lang w:val="uk-UA"/>
        </w:rPr>
        <w:t xml:space="preserve">Вимоги щодо якості </w:t>
      </w:r>
      <w:r w:rsidRPr="0069769C">
        <w:rPr>
          <w:rFonts w:eastAsia="Times New Roman" w:cs="Times New Roman"/>
          <w:b/>
          <w:sz w:val="24"/>
          <w:szCs w:val="24"/>
          <w:lang w:val="uk-UA"/>
        </w:rPr>
        <w:t>предмета закупівлі</w:t>
      </w:r>
      <w:r w:rsidRPr="0069769C">
        <w:rPr>
          <w:rFonts w:eastAsia="Times New Roman" w:cs="Times New Roman"/>
          <w:b/>
          <w:color w:val="000000"/>
          <w:sz w:val="24"/>
          <w:szCs w:val="24"/>
          <w:lang w:val="uk-UA"/>
        </w:rPr>
        <w:t xml:space="preserve">. </w:t>
      </w:r>
    </w:p>
    <w:p w:rsidR="0069769C" w:rsidRPr="0069769C" w:rsidRDefault="0069769C" w:rsidP="0069769C">
      <w:pPr>
        <w:shd w:val="clear" w:color="auto" w:fill="FFFFFF"/>
        <w:spacing w:after="0"/>
        <w:ind w:hanging="2"/>
        <w:jc w:val="both"/>
        <w:rPr>
          <w:rFonts w:eastAsia="Times New Roman" w:cs="Times New Roman"/>
          <w:sz w:val="24"/>
          <w:szCs w:val="24"/>
          <w:lang w:val="uk-UA"/>
        </w:rPr>
      </w:pPr>
      <w:r w:rsidRPr="0069769C">
        <w:rPr>
          <w:rFonts w:eastAsia="Times New Roman" w:cs="Times New Roman"/>
          <w:sz w:val="24"/>
          <w:szCs w:val="24"/>
          <w:lang w:val="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w:t>
      </w:r>
    </w:p>
    <w:p w:rsidR="0069769C" w:rsidRPr="0069769C" w:rsidRDefault="0069769C" w:rsidP="0069769C">
      <w:pPr>
        <w:shd w:val="clear" w:color="auto" w:fill="FFFFFF"/>
        <w:spacing w:after="0"/>
        <w:ind w:hanging="2"/>
        <w:jc w:val="both"/>
        <w:rPr>
          <w:rFonts w:eastAsia="Times New Roman" w:cs="Times New Roman"/>
          <w:sz w:val="24"/>
          <w:szCs w:val="24"/>
          <w:lang w:val="uk-UA"/>
        </w:rPr>
      </w:pPr>
      <w:r w:rsidRPr="0069769C">
        <w:rPr>
          <w:rFonts w:eastAsia="Times New Roman" w:cs="Times New Roman"/>
          <w:sz w:val="24"/>
          <w:szCs w:val="24"/>
          <w:lang w:val="uk-UA"/>
        </w:rPr>
        <w:t xml:space="preserve">За розрахункову одиницю газу приймається один метр кубічний (куб. м), приведений до стандартних умов: температура (t) 293,18 К (20оС), тиск газу (Р) 101,325 </w:t>
      </w:r>
      <w:proofErr w:type="spellStart"/>
      <w:r w:rsidRPr="0069769C">
        <w:rPr>
          <w:rFonts w:eastAsia="Times New Roman" w:cs="Times New Roman"/>
          <w:sz w:val="24"/>
          <w:szCs w:val="24"/>
          <w:lang w:val="uk-UA"/>
        </w:rPr>
        <w:t>кПа</w:t>
      </w:r>
      <w:proofErr w:type="spellEnd"/>
      <w:r w:rsidRPr="0069769C">
        <w:rPr>
          <w:rFonts w:eastAsia="Times New Roman" w:cs="Times New Roman"/>
          <w:sz w:val="24"/>
          <w:szCs w:val="24"/>
          <w:lang w:val="uk-UA"/>
        </w:rPr>
        <w:t xml:space="preserve"> (760 мм </w:t>
      </w:r>
      <w:proofErr w:type="spellStart"/>
      <w:r w:rsidRPr="0069769C">
        <w:rPr>
          <w:rFonts w:eastAsia="Times New Roman" w:cs="Times New Roman"/>
          <w:sz w:val="24"/>
          <w:szCs w:val="24"/>
          <w:lang w:val="uk-UA"/>
        </w:rPr>
        <w:t>рт</w:t>
      </w:r>
      <w:proofErr w:type="spellEnd"/>
      <w:r w:rsidRPr="0069769C">
        <w:rPr>
          <w:rFonts w:eastAsia="Times New Roman" w:cs="Times New Roman"/>
          <w:sz w:val="24"/>
          <w:szCs w:val="24"/>
          <w:lang w:val="uk-UA"/>
        </w:rPr>
        <w:t>. ст.).</w:t>
      </w:r>
    </w:p>
    <w:p w:rsidR="0069769C" w:rsidRPr="0069769C" w:rsidRDefault="0069769C" w:rsidP="0069769C">
      <w:pPr>
        <w:shd w:val="clear" w:color="auto" w:fill="FFFFFF"/>
        <w:spacing w:after="0"/>
        <w:ind w:hanging="2"/>
        <w:jc w:val="both"/>
        <w:rPr>
          <w:rFonts w:eastAsia="Times New Roman" w:cs="Times New Roman"/>
          <w:sz w:val="24"/>
          <w:szCs w:val="24"/>
          <w:lang w:val="uk-UA"/>
        </w:rPr>
      </w:pPr>
    </w:p>
    <w:p w:rsidR="0069769C" w:rsidRPr="0069769C" w:rsidRDefault="0069769C" w:rsidP="0069769C">
      <w:pPr>
        <w:pBdr>
          <w:top w:val="nil"/>
          <w:left w:val="nil"/>
          <w:bottom w:val="nil"/>
          <w:right w:val="nil"/>
          <w:between w:val="nil"/>
        </w:pBdr>
        <w:spacing w:after="0"/>
        <w:ind w:hanging="2"/>
        <w:jc w:val="both"/>
        <w:rPr>
          <w:rFonts w:eastAsia="Times New Roman" w:cs="Times New Roman"/>
          <w:sz w:val="24"/>
          <w:szCs w:val="24"/>
          <w:lang w:val="uk-UA"/>
        </w:rPr>
      </w:pPr>
    </w:p>
    <w:p w:rsidR="0069769C" w:rsidRPr="0069769C" w:rsidRDefault="0069769C" w:rsidP="0069769C">
      <w:pPr>
        <w:numPr>
          <w:ilvl w:val="0"/>
          <w:numId w:val="15"/>
        </w:numPr>
        <w:tabs>
          <w:tab w:val="left" w:pos="284"/>
          <w:tab w:val="left" w:pos="993"/>
          <w:tab w:val="left" w:pos="1560"/>
        </w:tabs>
        <w:suppressAutoHyphens/>
        <w:spacing w:after="0" w:line="259" w:lineRule="auto"/>
        <w:ind w:leftChars="-1" w:left="-1" w:hangingChars="1" w:hanging="2"/>
        <w:textDirection w:val="btLr"/>
        <w:textAlignment w:val="top"/>
        <w:outlineLvl w:val="0"/>
        <w:rPr>
          <w:rFonts w:eastAsia="Times New Roman" w:cs="Times New Roman"/>
          <w:b/>
          <w:sz w:val="24"/>
          <w:szCs w:val="24"/>
          <w:lang w:val="uk-UA"/>
        </w:rPr>
      </w:pPr>
      <w:r w:rsidRPr="0069769C">
        <w:rPr>
          <w:rFonts w:eastAsia="Times New Roman" w:cs="Times New Roman"/>
          <w:b/>
          <w:sz w:val="24"/>
          <w:szCs w:val="24"/>
          <w:lang w:val="uk-UA"/>
        </w:rPr>
        <w:t>Особливі вимоги до предмета закупівлі.</w:t>
      </w:r>
    </w:p>
    <w:p w:rsidR="0069769C" w:rsidRPr="0069769C" w:rsidRDefault="0069769C" w:rsidP="0069769C">
      <w:pPr>
        <w:tabs>
          <w:tab w:val="left" w:pos="284"/>
          <w:tab w:val="left" w:pos="993"/>
          <w:tab w:val="left" w:pos="1560"/>
        </w:tabs>
        <w:spacing w:after="0"/>
        <w:ind w:hanging="2"/>
        <w:jc w:val="both"/>
        <w:rPr>
          <w:rFonts w:eastAsia="Times New Roman" w:cs="Times New Roman"/>
          <w:b/>
          <w:sz w:val="24"/>
          <w:szCs w:val="24"/>
          <w:lang w:val="uk-UA"/>
        </w:rPr>
      </w:pPr>
      <w:r w:rsidRPr="0069769C">
        <w:rPr>
          <w:rFonts w:eastAsia="Times New Roman" w:cs="Times New Roman"/>
          <w:sz w:val="24"/>
          <w:szCs w:val="24"/>
          <w:lang w:val="uk-UA"/>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69769C" w:rsidRPr="0069769C" w:rsidRDefault="0069769C" w:rsidP="0069769C">
      <w:pPr>
        <w:tabs>
          <w:tab w:val="left" w:pos="284"/>
          <w:tab w:val="left" w:pos="993"/>
          <w:tab w:val="left" w:pos="1560"/>
        </w:tabs>
        <w:spacing w:after="0"/>
        <w:ind w:hanging="2"/>
        <w:jc w:val="both"/>
        <w:rPr>
          <w:rFonts w:eastAsia="Times New Roman" w:cs="Times New Roman"/>
          <w:b/>
          <w:sz w:val="24"/>
          <w:szCs w:val="24"/>
          <w:highlight w:val="white"/>
          <w:lang w:val="uk-UA"/>
        </w:rPr>
      </w:pPr>
      <w:r w:rsidRPr="0069769C">
        <w:rPr>
          <w:rFonts w:eastAsia="Times New Roman" w:cs="Times New Roman"/>
          <w:sz w:val="24"/>
          <w:szCs w:val="24"/>
          <w:highlight w:val="white"/>
          <w:lang w:val="uk-UA"/>
        </w:rPr>
        <w:t xml:space="preserve">Ціна на предмет даної закупівлі обов'язково повинна включати до вартості ціни тендерної пропозиції вартість </w:t>
      </w:r>
      <w:r w:rsidRPr="0069769C">
        <w:rPr>
          <w:rFonts w:eastAsia="Times New Roman" w:cs="Times New Roman"/>
          <w:b/>
          <w:sz w:val="24"/>
          <w:szCs w:val="24"/>
          <w:highlight w:val="white"/>
          <w:lang w:val="uk-UA"/>
        </w:rPr>
        <w:t>послуг, пов’язаних з транспортуванням газу</w:t>
      </w:r>
      <w:r w:rsidRPr="0069769C">
        <w:rPr>
          <w:rFonts w:eastAsia="Times New Roman" w:cs="Times New Roman"/>
          <w:sz w:val="24"/>
          <w:szCs w:val="24"/>
          <w:highlight w:val="white"/>
          <w:lang w:val="uk-UA"/>
        </w:rPr>
        <w:t>,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69769C" w:rsidRPr="0069769C" w:rsidRDefault="0069769C" w:rsidP="0069769C">
      <w:pPr>
        <w:tabs>
          <w:tab w:val="left" w:pos="284"/>
          <w:tab w:val="left" w:pos="993"/>
          <w:tab w:val="left" w:pos="1560"/>
        </w:tabs>
        <w:spacing w:after="0"/>
        <w:ind w:hanging="2"/>
        <w:jc w:val="both"/>
        <w:rPr>
          <w:rFonts w:eastAsia="Times New Roman" w:cs="Times New Roman"/>
          <w:b/>
          <w:sz w:val="24"/>
          <w:szCs w:val="24"/>
          <w:highlight w:val="white"/>
          <w:lang w:val="uk-UA"/>
        </w:rPr>
      </w:pPr>
      <w:r w:rsidRPr="0069769C">
        <w:rPr>
          <w:rFonts w:eastAsia="Times New Roman" w:cs="Times New Roman"/>
          <w:sz w:val="24"/>
          <w:szCs w:val="24"/>
          <w:highlight w:val="white"/>
          <w:lang w:val="uk-UA"/>
        </w:rPr>
        <w:t xml:space="preserve">При цьому до ціни газу </w:t>
      </w:r>
      <w:r w:rsidRPr="0069769C">
        <w:rPr>
          <w:rFonts w:eastAsia="Times New Roman" w:cs="Times New Roman"/>
          <w:b/>
          <w:sz w:val="24"/>
          <w:szCs w:val="24"/>
          <w:highlight w:val="white"/>
          <w:lang w:val="uk-UA"/>
        </w:rPr>
        <w:t>не включається вартість послуг з розподілу природного газу</w:t>
      </w:r>
      <w:r w:rsidRPr="0069769C">
        <w:rPr>
          <w:rFonts w:eastAsia="Times New Roman" w:cs="Times New Roman"/>
          <w:sz w:val="24"/>
          <w:szCs w:val="24"/>
          <w:highlight w:val="white"/>
          <w:lang w:val="uk-UA"/>
        </w:rPr>
        <w:t>, що є предметом регулювання окремого договору між Замовником та Оператором газорозподільної системи.</w:t>
      </w:r>
    </w:p>
    <w:p w:rsidR="0069769C" w:rsidRPr="0069769C" w:rsidRDefault="0069769C" w:rsidP="0069769C">
      <w:pPr>
        <w:tabs>
          <w:tab w:val="left" w:pos="284"/>
          <w:tab w:val="left" w:pos="993"/>
          <w:tab w:val="left" w:pos="1560"/>
        </w:tabs>
        <w:ind w:hanging="2"/>
        <w:rPr>
          <w:rFonts w:eastAsia="Times New Roman" w:cs="Times New Roman"/>
          <w:sz w:val="24"/>
          <w:szCs w:val="24"/>
          <w:lang w:val="uk-UA"/>
        </w:rPr>
      </w:pPr>
      <w:r w:rsidRPr="0069769C">
        <w:rPr>
          <w:rFonts w:eastAsia="Times New Roman" w:cs="Times New Roman"/>
          <w:sz w:val="24"/>
          <w:szCs w:val="24"/>
          <w:lang w:val="uk-UA"/>
        </w:rPr>
        <w:tab/>
      </w:r>
    </w:p>
    <w:p w:rsidR="0069769C" w:rsidRPr="0069769C" w:rsidRDefault="0069769C" w:rsidP="0069769C">
      <w:pPr>
        <w:tabs>
          <w:tab w:val="left" w:pos="284"/>
          <w:tab w:val="left" w:pos="993"/>
          <w:tab w:val="left" w:pos="1560"/>
        </w:tabs>
        <w:spacing w:after="0" w:line="276" w:lineRule="auto"/>
        <w:ind w:hanging="2"/>
        <w:jc w:val="both"/>
        <w:rPr>
          <w:rFonts w:eastAsia="Times New Roman" w:cs="Times New Roman"/>
          <w:b/>
          <w:sz w:val="24"/>
          <w:szCs w:val="24"/>
          <w:highlight w:val="white"/>
          <w:lang w:val="uk-UA"/>
        </w:rPr>
      </w:pPr>
      <w:r w:rsidRPr="0069769C">
        <w:rPr>
          <w:rFonts w:eastAsia="Times New Roman" w:cs="Times New Roman"/>
          <w:b/>
          <w:sz w:val="24"/>
          <w:szCs w:val="24"/>
          <w:highlight w:val="white"/>
          <w:lang w:val="uk-UA"/>
        </w:rPr>
        <w:t>5.</w:t>
      </w:r>
      <w:r w:rsidRPr="0069769C">
        <w:rPr>
          <w:rFonts w:eastAsia="Times New Roman" w:cs="Times New Roman"/>
          <w:sz w:val="24"/>
          <w:szCs w:val="24"/>
          <w:highlight w:val="white"/>
          <w:lang w:val="uk-UA"/>
        </w:rPr>
        <w:t xml:space="preserve">   </w:t>
      </w:r>
      <w:r w:rsidRPr="0069769C">
        <w:rPr>
          <w:rFonts w:eastAsia="Times New Roman" w:cs="Times New Roman"/>
          <w:b/>
          <w:sz w:val="24"/>
          <w:szCs w:val="24"/>
          <w:highlight w:val="white"/>
          <w:lang w:val="uk-UA"/>
        </w:rPr>
        <w:t>Умови постачання.</w:t>
      </w:r>
    </w:p>
    <w:p w:rsidR="0069769C" w:rsidRPr="0069769C" w:rsidRDefault="0069769C" w:rsidP="0069769C">
      <w:pPr>
        <w:tabs>
          <w:tab w:val="left" w:pos="284"/>
          <w:tab w:val="left" w:pos="993"/>
          <w:tab w:val="left" w:pos="1560"/>
        </w:tabs>
        <w:spacing w:after="0" w:line="276" w:lineRule="auto"/>
        <w:ind w:hanging="2"/>
        <w:jc w:val="both"/>
        <w:rPr>
          <w:rFonts w:eastAsia="Times New Roman" w:cs="Times New Roman"/>
          <w:sz w:val="24"/>
          <w:szCs w:val="24"/>
          <w:highlight w:val="white"/>
          <w:lang w:val="uk-UA"/>
        </w:rPr>
      </w:pPr>
      <w:r w:rsidRPr="0069769C">
        <w:rPr>
          <w:rFonts w:eastAsia="Times New Roman" w:cs="Times New Roman"/>
          <w:sz w:val="24"/>
          <w:szCs w:val="24"/>
          <w:highlight w:val="white"/>
          <w:lang w:val="uk-UA"/>
        </w:rPr>
        <w:tab/>
      </w:r>
      <w:r w:rsidRPr="0069769C">
        <w:rPr>
          <w:rFonts w:eastAsia="Times New Roman" w:cs="Times New Roman"/>
          <w:sz w:val="24"/>
          <w:szCs w:val="24"/>
          <w:highlight w:val="white"/>
          <w:lang w:val="uk-UA"/>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69769C" w:rsidRPr="0069769C" w:rsidRDefault="0069769C" w:rsidP="0069769C">
      <w:pPr>
        <w:tabs>
          <w:tab w:val="left" w:pos="284"/>
          <w:tab w:val="left" w:pos="993"/>
          <w:tab w:val="left" w:pos="1560"/>
        </w:tabs>
        <w:spacing w:after="0" w:line="276" w:lineRule="auto"/>
        <w:ind w:hanging="2"/>
        <w:jc w:val="both"/>
        <w:rPr>
          <w:rFonts w:eastAsia="Times New Roman" w:cs="Times New Roman"/>
          <w:sz w:val="24"/>
          <w:szCs w:val="24"/>
          <w:highlight w:val="white"/>
          <w:lang w:val="uk-UA"/>
        </w:rPr>
      </w:pPr>
      <w:r w:rsidRPr="0069769C">
        <w:rPr>
          <w:rFonts w:eastAsia="Times New Roman" w:cs="Times New Roman"/>
          <w:sz w:val="24"/>
          <w:szCs w:val="24"/>
          <w:highlight w:val="white"/>
          <w:lang w:val="uk-UA"/>
        </w:rPr>
        <w:tab/>
      </w:r>
      <w:r w:rsidRPr="0069769C">
        <w:rPr>
          <w:rFonts w:eastAsia="Times New Roman" w:cs="Times New Roman"/>
          <w:sz w:val="24"/>
          <w:szCs w:val="24"/>
          <w:highlight w:val="white"/>
          <w:lang w:val="uk-UA"/>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69769C" w:rsidRPr="0069769C" w:rsidRDefault="0069769C" w:rsidP="0069769C">
      <w:pPr>
        <w:tabs>
          <w:tab w:val="left" w:pos="284"/>
          <w:tab w:val="left" w:pos="993"/>
          <w:tab w:val="left" w:pos="1560"/>
        </w:tabs>
        <w:ind w:hanging="2"/>
        <w:rPr>
          <w:rFonts w:eastAsia="Times New Roman" w:cs="Times New Roman"/>
          <w:sz w:val="24"/>
          <w:szCs w:val="24"/>
          <w:lang w:val="uk-UA"/>
        </w:rPr>
      </w:pPr>
    </w:p>
    <w:p w:rsidR="0069769C" w:rsidRPr="0069769C" w:rsidRDefault="0069769C" w:rsidP="0069769C">
      <w:pPr>
        <w:pBdr>
          <w:top w:val="nil"/>
          <w:left w:val="nil"/>
          <w:bottom w:val="nil"/>
          <w:right w:val="nil"/>
          <w:between w:val="nil"/>
        </w:pBdr>
        <w:spacing w:after="0"/>
        <w:ind w:hanging="2"/>
        <w:jc w:val="both"/>
        <w:rPr>
          <w:rFonts w:eastAsia="Times New Roman" w:cs="Times New Roman"/>
          <w:sz w:val="24"/>
          <w:szCs w:val="24"/>
          <w:lang w:val="uk-UA"/>
        </w:rPr>
      </w:pPr>
    </w:p>
    <w:p w:rsidR="0069769C" w:rsidRPr="0069769C" w:rsidRDefault="0069769C" w:rsidP="0069769C">
      <w:pPr>
        <w:pBdr>
          <w:top w:val="nil"/>
          <w:left w:val="nil"/>
          <w:bottom w:val="nil"/>
          <w:right w:val="nil"/>
          <w:between w:val="nil"/>
        </w:pBdr>
        <w:shd w:val="clear" w:color="auto" w:fill="FFFFFF"/>
        <w:spacing w:after="0"/>
        <w:ind w:hanging="2"/>
        <w:jc w:val="both"/>
        <w:rPr>
          <w:rFonts w:eastAsia="Times New Roman" w:cs="Times New Roman"/>
          <w:color w:val="FF0000"/>
          <w:sz w:val="24"/>
          <w:szCs w:val="24"/>
          <w:lang w:val="uk-UA"/>
        </w:rPr>
      </w:pPr>
    </w:p>
    <w:p w:rsidR="0069769C" w:rsidRPr="0069769C" w:rsidRDefault="0069769C" w:rsidP="0069769C">
      <w:pPr>
        <w:pBdr>
          <w:top w:val="nil"/>
          <w:left w:val="nil"/>
          <w:bottom w:val="nil"/>
          <w:right w:val="nil"/>
          <w:between w:val="nil"/>
        </w:pBdr>
        <w:tabs>
          <w:tab w:val="left" w:pos="993"/>
          <w:tab w:val="left" w:pos="1560"/>
        </w:tabs>
        <w:ind w:right="-2" w:hanging="2"/>
        <w:jc w:val="both"/>
        <w:rPr>
          <w:rFonts w:eastAsia="Times New Roman" w:cs="Times New Roman"/>
          <w:color w:val="000000"/>
          <w:sz w:val="24"/>
          <w:szCs w:val="24"/>
          <w:lang w:val="uk-UA"/>
        </w:rPr>
      </w:pPr>
    </w:p>
    <w:p w:rsidR="004A7E97" w:rsidRPr="0069769C" w:rsidRDefault="004A7E97" w:rsidP="0069769C">
      <w:pPr>
        <w:shd w:val="clear" w:color="auto" w:fill="FFFFFF"/>
        <w:ind w:hanging="2"/>
        <w:rPr>
          <w:rFonts w:eastAsia="Times New Roman" w:cs="Times New Roman"/>
          <w:b/>
          <w:color w:val="FF0000"/>
          <w:sz w:val="24"/>
          <w:szCs w:val="24"/>
          <w:u w:val="single"/>
          <w:lang w:val="uk-UA"/>
        </w:rPr>
      </w:pPr>
    </w:p>
    <w:sectPr w:rsidR="004A7E97" w:rsidRPr="0069769C"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nsid w:val="0C6C499C"/>
    <w:multiLevelType w:val="multilevel"/>
    <w:tmpl w:val="6DA23C9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7391965"/>
    <w:multiLevelType w:val="multilevel"/>
    <w:tmpl w:val="C7DCF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2"/>
  </w:num>
  <w:num w:numId="5">
    <w:abstractNumId w:val="14"/>
  </w:num>
  <w:num w:numId="6">
    <w:abstractNumId w:val="6"/>
  </w:num>
  <w:num w:numId="7">
    <w:abstractNumId w:val="5"/>
  </w:num>
  <w:num w:numId="8">
    <w:abstractNumId w:val="10"/>
  </w:num>
  <w:num w:numId="9">
    <w:abstractNumId w:val="13"/>
  </w:num>
  <w:num w:numId="10">
    <w:abstractNumId w:val="7"/>
  </w:num>
  <w:num w:numId="11">
    <w:abstractNumId w:val="11"/>
  </w:num>
  <w:num w:numId="12">
    <w:abstractNumId w:val="4"/>
  </w:num>
  <w:num w:numId="13">
    <w:abstractNumId w:val="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077BEC"/>
    <w:rsid w:val="00143CEF"/>
    <w:rsid w:val="002005E6"/>
    <w:rsid w:val="003D6495"/>
    <w:rsid w:val="004034C7"/>
    <w:rsid w:val="004038E9"/>
    <w:rsid w:val="004A7E97"/>
    <w:rsid w:val="005314BA"/>
    <w:rsid w:val="0059369A"/>
    <w:rsid w:val="005A19DC"/>
    <w:rsid w:val="005E36BD"/>
    <w:rsid w:val="00630B12"/>
    <w:rsid w:val="00661874"/>
    <w:rsid w:val="0069769C"/>
    <w:rsid w:val="006C0B77"/>
    <w:rsid w:val="006E3485"/>
    <w:rsid w:val="007C659E"/>
    <w:rsid w:val="008242FF"/>
    <w:rsid w:val="00870751"/>
    <w:rsid w:val="008E6B8B"/>
    <w:rsid w:val="00922C48"/>
    <w:rsid w:val="00995E49"/>
    <w:rsid w:val="009E1B33"/>
    <w:rsid w:val="00AB53CD"/>
    <w:rsid w:val="00B412B8"/>
    <w:rsid w:val="00B72C5B"/>
    <w:rsid w:val="00B915B7"/>
    <w:rsid w:val="00BD6083"/>
    <w:rsid w:val="00C82DB8"/>
    <w:rsid w:val="00CA1CDA"/>
    <w:rsid w:val="00CD5BC3"/>
    <w:rsid w:val="00D362C7"/>
    <w:rsid w:val="00EA59DF"/>
    <w:rsid w:val="00EE4070"/>
    <w:rsid w:val="00F12C76"/>
    <w:rsid w:val="00F239B2"/>
    <w:rsid w:val="00F429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4A7E9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
    <w:basedOn w:val="a"/>
    <w:link w:val="ac"/>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d">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 w:type="character" w:customStyle="1" w:styleId="20">
    <w:name w:val="Заголовок 2 Знак"/>
    <w:basedOn w:val="a0"/>
    <w:link w:val="2"/>
    <w:uiPriority w:val="9"/>
    <w:semiHidden/>
    <w:rsid w:val="004A7E97"/>
    <w:rPr>
      <w:rFonts w:asciiTheme="majorHAnsi" w:eastAsiaTheme="majorEastAsia" w:hAnsiTheme="majorHAnsi" w:cstheme="majorBidi"/>
      <w:b/>
      <w:bCs/>
      <w:color w:val="5B9BD5" w:themeColor="accent1"/>
      <w:sz w:val="26"/>
      <w:szCs w:val="26"/>
    </w:rPr>
  </w:style>
  <w:style w:type="character" w:customStyle="1" w:styleId="ac">
    <w:name w:val="Абзац списка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b"/>
    <w:uiPriority w:val="34"/>
    <w:qFormat/>
    <w:rsid w:val="004A7E97"/>
    <w:rPr>
      <w:rFonts w:ascii="Arial" w:eastAsia="Times New Roman" w:hAnsi="Arial"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77412514">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45859552">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025091342">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4696</Words>
  <Characters>2678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11</cp:revision>
  <dcterms:created xsi:type="dcterms:W3CDTF">2024-11-04T13:07:00Z</dcterms:created>
  <dcterms:modified xsi:type="dcterms:W3CDTF">2025-12-01T14:37:00Z</dcterms:modified>
</cp:coreProperties>
</file>