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5A5" w:rsidRDefault="00CD25A5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Додаток № 1</w:t>
      </w:r>
    </w:p>
    <w:p w:rsidR="00CD25A5" w:rsidRDefault="00CD25A5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D0A14" w:rsidRPr="00616709" w:rsidRDefault="005D0A14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16709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щодо процедур </w:t>
      </w:r>
      <w:proofErr w:type="spellStart"/>
      <w:r w:rsidRPr="00616709">
        <w:rPr>
          <w:rFonts w:ascii="Times New Roman" w:hAnsi="Times New Roman" w:cs="Times New Roman"/>
          <w:sz w:val="28"/>
          <w:szCs w:val="28"/>
          <w:lang w:val="uk-UA"/>
        </w:rPr>
        <w:t>закупівель</w:t>
      </w:r>
      <w:proofErr w:type="spellEnd"/>
    </w:p>
    <w:p w:rsidR="005D0A14" w:rsidRDefault="005D0A14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616709">
        <w:rPr>
          <w:rFonts w:ascii="Times New Roman" w:hAnsi="Times New Roman" w:cs="Times New Roman"/>
          <w:sz w:val="28"/>
          <w:szCs w:val="28"/>
          <w:lang w:val="uk-UA"/>
        </w:rPr>
        <w:t>а виконання Постанови КМУ від 11.10.2016 № 710 (зі змінами)</w:t>
      </w:r>
    </w:p>
    <w:p w:rsidR="005D0A14" w:rsidRDefault="005D0A14" w:rsidP="005D0A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D0A14" w:rsidRDefault="005D0A14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264" w:type="dxa"/>
        <w:tblLayout w:type="fixed"/>
        <w:tblLook w:val="04A0" w:firstRow="1" w:lastRow="0" w:firstColumn="1" w:lastColumn="0" w:noHBand="0" w:noVBand="1"/>
      </w:tblPr>
      <w:tblGrid>
        <w:gridCol w:w="1838"/>
        <w:gridCol w:w="7426"/>
      </w:tblGrid>
      <w:tr w:rsidR="005D0A14" w:rsidRPr="00970F6D" w:rsidTr="007E7B49"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предмета закупівлі із зазначенням коду ЄЗС</w:t>
            </w:r>
          </w:p>
        </w:tc>
        <w:tc>
          <w:tcPr>
            <w:tcW w:w="7426" w:type="dxa"/>
          </w:tcPr>
          <w:p w:rsidR="00EB3372" w:rsidRPr="00EB3372" w:rsidRDefault="00EB3372" w:rsidP="00EB337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uk-UA" w:eastAsia="ru-RU"/>
              </w:rPr>
            </w:pPr>
            <w:r w:rsidRPr="00EB3372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uk-UA" w:eastAsia="ru-RU"/>
              </w:rPr>
              <w:t>Код ДК 021:2015 65310000-9 Розподіл електричної енергії - послуги з розподілу електричної енергії</w:t>
            </w:r>
          </w:p>
          <w:p w:rsidR="009F1532" w:rsidRPr="00EB3372" w:rsidRDefault="009F1532" w:rsidP="004952A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uk-UA" w:eastAsia="ru-RU"/>
              </w:rPr>
            </w:pPr>
          </w:p>
        </w:tc>
      </w:tr>
      <w:tr w:rsidR="005D0A14" w:rsidTr="007E7B49"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 та ідентифікатор процедури закупівлі</w:t>
            </w:r>
          </w:p>
        </w:tc>
        <w:tc>
          <w:tcPr>
            <w:tcW w:w="7426" w:type="dxa"/>
          </w:tcPr>
          <w:p w:rsidR="00EB3372" w:rsidRDefault="00EB3372" w:rsidP="00EB337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Переговорна процедура, скорочена</w:t>
            </w:r>
          </w:p>
          <w:p w:rsidR="005D0A14" w:rsidRPr="0075363E" w:rsidRDefault="00EB3372" w:rsidP="00EB337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EB3372">
              <w:rPr>
                <w:rFonts w:ascii="Times New Roman" w:hAnsi="Times New Roman" w:cs="Times New Roman"/>
                <w:sz w:val="24"/>
                <w:szCs w:val="24"/>
              </w:rPr>
              <w:t>UA-2026-09-25-012363-a </w:t>
            </w:r>
          </w:p>
        </w:tc>
      </w:tr>
      <w:tr w:rsidR="005D0A14" w:rsidTr="007E7B49">
        <w:trPr>
          <w:trHeight w:val="1424"/>
        </w:trPr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Очікувана вартість предмета закупівлі</w:t>
            </w:r>
          </w:p>
        </w:tc>
        <w:tc>
          <w:tcPr>
            <w:tcW w:w="7426" w:type="dxa"/>
          </w:tcPr>
          <w:p w:rsidR="00EB3372" w:rsidRPr="00EB3372" w:rsidRDefault="00EB3372" w:rsidP="00EB33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r w:rsidRPr="00EB337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/>
              </w:rPr>
              <w:t>65 334,98</w:t>
            </w:r>
            <w:r w:rsidRPr="00EB337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 грн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Pr="00EB337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без ПДВ</w:t>
            </w:r>
          </w:p>
          <w:p w:rsidR="005D0A14" w:rsidRPr="00A16F41" w:rsidRDefault="005D0A14" w:rsidP="00404E6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F1532" w:rsidRPr="00AA32B0" w:rsidTr="007E7B49">
        <w:tc>
          <w:tcPr>
            <w:tcW w:w="1838" w:type="dxa"/>
          </w:tcPr>
          <w:p w:rsidR="009F1532" w:rsidRPr="00B36C14" w:rsidRDefault="009F1532" w:rsidP="009F1532">
            <w:pPr>
              <w:spacing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426" w:type="dxa"/>
          </w:tcPr>
          <w:p w:rsidR="009F1532" w:rsidRPr="004952A0" w:rsidRDefault="00CD25A5" w:rsidP="004952A0">
            <w:pPr>
              <w:shd w:val="clear" w:color="auto" w:fill="FFFFFF"/>
              <w:ind w:left="34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Викладені у Додатку № 2</w:t>
            </w:r>
          </w:p>
        </w:tc>
      </w:tr>
      <w:tr w:rsidR="005D0A14" w:rsidRPr="007023E2" w:rsidTr="007E7B49">
        <w:tc>
          <w:tcPr>
            <w:tcW w:w="1838" w:type="dxa"/>
          </w:tcPr>
          <w:p w:rsidR="005D0A14" w:rsidRPr="00BD0C32" w:rsidRDefault="005D0A14" w:rsidP="008C0F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D0C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7426" w:type="dxa"/>
          </w:tcPr>
          <w:p w:rsidR="00FE1679" w:rsidRDefault="00EB3372" w:rsidP="006477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Тарифи на послуги з розподілу електричної енергії для споживачів та операторів установок </w:t>
            </w:r>
            <w:r w:rsidR="007023E2">
              <w:rPr>
                <w:color w:val="000000" w:themeColor="text1"/>
                <w:shd w:val="clear" w:color="auto" w:fill="FFFFFF"/>
              </w:rPr>
              <w:t>встановлюється відповідно до постанови НКРЕКП від 05 грудня 2025 р. № 2022 «Про встановлення тарифів на послуги з розподілу електричної енергії АТ «МИКОЛАЇВОБЛЕНЕРГО» із застосуванням стимулюючого регулювання» (зі змінами)</w:t>
            </w:r>
          </w:p>
          <w:p w:rsidR="00AA32B0" w:rsidRPr="007023E2" w:rsidRDefault="00D545C9" w:rsidP="007023E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color w:val="000000" w:themeColor="text1"/>
                <w:shd w:val="clear" w:color="auto" w:fill="FFFFFF"/>
              </w:rPr>
            </w:pPr>
            <w:r w:rsidRPr="00D545C9">
              <w:rPr>
                <w:color w:val="000000" w:themeColor="text1"/>
                <w:shd w:val="clear" w:color="auto" w:fill="FFFFFF"/>
              </w:rPr>
              <w:t xml:space="preserve">Необхідна кількість </w:t>
            </w:r>
            <w:r w:rsidR="007023E2" w:rsidRPr="007023E2">
              <w:rPr>
                <w:bCs/>
                <w:color w:val="000000" w:themeColor="text1"/>
                <w:shd w:val="clear" w:color="auto" w:fill="FFFFFF"/>
              </w:rPr>
              <w:t>послуг з розподілу електричної енергії</w:t>
            </w:r>
            <w:r w:rsidR="002E1CBA">
              <w:rPr>
                <w:bCs/>
                <w:color w:val="000000" w:themeColor="text1"/>
                <w:shd w:val="clear" w:color="auto" w:fill="FFFFFF"/>
              </w:rPr>
              <w:t xml:space="preserve"> становить 21,735 тис. кВт*год х</w:t>
            </w:r>
            <w:r w:rsidR="007023E2">
              <w:rPr>
                <w:bCs/>
                <w:color w:val="000000" w:themeColor="text1"/>
                <w:shd w:val="clear" w:color="auto" w:fill="FFFFFF"/>
              </w:rPr>
              <w:t xml:space="preserve"> 3 005,85 грн/</w:t>
            </w:r>
            <w:proofErr w:type="spellStart"/>
            <w:r w:rsidR="007023E2">
              <w:rPr>
                <w:bCs/>
                <w:color w:val="000000" w:themeColor="text1"/>
                <w:shd w:val="clear" w:color="auto" w:fill="FFFFFF"/>
              </w:rPr>
              <w:t>МВт</w:t>
            </w:r>
            <w:proofErr w:type="spellEnd"/>
            <w:r w:rsidR="007023E2">
              <w:rPr>
                <w:bCs/>
                <w:color w:val="000000" w:themeColor="text1"/>
                <w:shd w:val="clear" w:color="auto" w:fill="FFFFFF"/>
              </w:rPr>
              <w:t>*год</w:t>
            </w:r>
            <w:r w:rsidR="004952A0" w:rsidRPr="007023E2">
              <w:rPr>
                <w:bCs/>
                <w:color w:val="000000" w:themeColor="text1"/>
                <w:shd w:val="clear" w:color="auto" w:fill="FFFFFF"/>
              </w:rPr>
              <w:t xml:space="preserve">  =</w:t>
            </w:r>
            <w:r w:rsidR="00D0595A" w:rsidRPr="007023E2">
              <w:rPr>
                <w:bCs/>
                <w:color w:val="000000" w:themeColor="text1"/>
                <w:shd w:val="clear" w:color="auto" w:fill="FFFFFF"/>
              </w:rPr>
              <w:t xml:space="preserve"> </w:t>
            </w:r>
            <w:r w:rsidR="007023E2">
              <w:rPr>
                <w:bCs/>
                <w:color w:val="000000" w:themeColor="text1"/>
                <w:shd w:val="clear" w:color="auto" w:fill="FFFFFF"/>
              </w:rPr>
              <w:t>65 334,98 грн без ПДВ.</w:t>
            </w:r>
          </w:p>
        </w:tc>
      </w:tr>
    </w:tbl>
    <w:p w:rsidR="003F76A2" w:rsidRDefault="003F76A2">
      <w:pPr>
        <w:rPr>
          <w:sz w:val="24"/>
          <w:szCs w:val="24"/>
          <w:lang w:val="uk-UA"/>
        </w:rPr>
      </w:pPr>
    </w:p>
    <w:p w:rsidR="004952A0" w:rsidRDefault="004952A0">
      <w:pPr>
        <w:rPr>
          <w:sz w:val="24"/>
          <w:szCs w:val="24"/>
          <w:lang w:val="uk-UA"/>
        </w:rPr>
      </w:pPr>
    </w:p>
    <w:p w:rsidR="00970F6D" w:rsidRDefault="00970F6D">
      <w:pPr>
        <w:spacing w:line="259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 w:type="page"/>
      </w:r>
    </w:p>
    <w:p w:rsidR="00970F6D" w:rsidRDefault="00970F6D" w:rsidP="00970F6D">
      <w:pPr>
        <w:spacing w:after="0" w:line="240" w:lineRule="auto"/>
        <w:jc w:val="right"/>
        <w:rPr>
          <w:rFonts w:ascii="Times New Roman" w:hAnsi="Times New Roman"/>
          <w:b/>
          <w:lang w:val="uk-UA" w:eastAsia="ru-RU"/>
        </w:rPr>
      </w:pPr>
      <w:r w:rsidRPr="009657FA">
        <w:rPr>
          <w:rFonts w:ascii="Times New Roman" w:hAnsi="Times New Roman"/>
          <w:b/>
          <w:lang w:val="uk-UA" w:eastAsia="ru-RU"/>
        </w:rPr>
        <w:lastRenderedPageBreak/>
        <w:t xml:space="preserve">Додаток </w:t>
      </w:r>
      <w:r>
        <w:rPr>
          <w:rFonts w:ascii="Times New Roman" w:hAnsi="Times New Roman"/>
          <w:b/>
          <w:lang w:val="uk-UA" w:eastAsia="ru-RU"/>
        </w:rPr>
        <w:t>№ 2</w:t>
      </w:r>
    </w:p>
    <w:p w:rsidR="00970F6D" w:rsidRPr="009657FA" w:rsidRDefault="00970F6D" w:rsidP="00970F6D">
      <w:pPr>
        <w:spacing w:after="0" w:line="240" w:lineRule="auto"/>
        <w:jc w:val="right"/>
        <w:rPr>
          <w:rFonts w:ascii="Times New Roman" w:hAnsi="Times New Roman"/>
          <w:b/>
          <w:lang w:val="uk-UA" w:eastAsia="ru-RU"/>
        </w:rPr>
      </w:pPr>
    </w:p>
    <w:p w:rsidR="00970F6D" w:rsidRPr="009657FA" w:rsidRDefault="00970F6D" w:rsidP="00970F6D">
      <w:pPr>
        <w:spacing w:after="0" w:line="240" w:lineRule="auto"/>
        <w:ind w:left="589" w:right="326"/>
        <w:jc w:val="center"/>
        <w:rPr>
          <w:rFonts w:ascii="Times New Roman" w:hAnsi="Times New Roman"/>
          <w:b/>
          <w:i/>
          <w:lang w:val="uk-UA"/>
        </w:rPr>
      </w:pPr>
      <w:r w:rsidRPr="009657FA">
        <w:rPr>
          <w:rFonts w:ascii="Times New Roman" w:hAnsi="Times New Roman"/>
          <w:b/>
          <w:i/>
          <w:lang w:val="uk-UA"/>
        </w:rPr>
        <w:t>Інформація</w:t>
      </w:r>
      <w:r w:rsidRPr="009657FA">
        <w:rPr>
          <w:rFonts w:ascii="Times New Roman" w:hAnsi="Times New Roman"/>
          <w:b/>
          <w:i/>
          <w:spacing w:val="-1"/>
          <w:lang w:val="uk-UA"/>
        </w:rPr>
        <w:t xml:space="preserve"> </w:t>
      </w:r>
      <w:r w:rsidRPr="009657FA">
        <w:rPr>
          <w:rFonts w:ascii="Times New Roman" w:hAnsi="Times New Roman"/>
          <w:b/>
          <w:i/>
          <w:lang w:val="uk-UA"/>
        </w:rPr>
        <w:t>про</w:t>
      </w:r>
      <w:r w:rsidRPr="009657FA">
        <w:rPr>
          <w:rFonts w:ascii="Times New Roman" w:hAnsi="Times New Roman"/>
          <w:b/>
          <w:i/>
          <w:spacing w:val="-6"/>
          <w:lang w:val="uk-UA"/>
        </w:rPr>
        <w:t xml:space="preserve"> </w:t>
      </w:r>
      <w:r w:rsidRPr="009657FA">
        <w:rPr>
          <w:rFonts w:ascii="Times New Roman" w:hAnsi="Times New Roman"/>
          <w:b/>
          <w:i/>
          <w:lang w:val="uk-UA"/>
        </w:rPr>
        <w:t>необхідні</w:t>
      </w:r>
      <w:r w:rsidRPr="009657FA">
        <w:rPr>
          <w:rFonts w:ascii="Times New Roman" w:hAnsi="Times New Roman"/>
          <w:b/>
          <w:i/>
          <w:spacing w:val="-10"/>
          <w:lang w:val="uk-UA"/>
        </w:rPr>
        <w:t xml:space="preserve"> </w:t>
      </w:r>
      <w:r w:rsidRPr="009657FA">
        <w:rPr>
          <w:rFonts w:ascii="Times New Roman" w:hAnsi="Times New Roman"/>
          <w:b/>
          <w:i/>
          <w:lang w:val="uk-UA"/>
        </w:rPr>
        <w:t>технічні, якісні</w:t>
      </w:r>
      <w:r w:rsidRPr="009657FA">
        <w:rPr>
          <w:rFonts w:ascii="Times New Roman" w:hAnsi="Times New Roman"/>
          <w:b/>
          <w:i/>
          <w:spacing w:val="-10"/>
          <w:lang w:val="uk-UA"/>
        </w:rPr>
        <w:t xml:space="preserve"> </w:t>
      </w:r>
      <w:r w:rsidRPr="009657FA">
        <w:rPr>
          <w:rFonts w:ascii="Times New Roman" w:hAnsi="Times New Roman"/>
          <w:b/>
          <w:i/>
          <w:lang w:val="uk-UA"/>
        </w:rPr>
        <w:t>та</w:t>
      </w:r>
      <w:r w:rsidRPr="009657FA">
        <w:rPr>
          <w:rFonts w:ascii="Times New Roman" w:hAnsi="Times New Roman"/>
          <w:b/>
          <w:i/>
          <w:spacing w:val="-11"/>
          <w:lang w:val="uk-UA"/>
        </w:rPr>
        <w:t xml:space="preserve"> </w:t>
      </w:r>
      <w:r w:rsidRPr="009657FA">
        <w:rPr>
          <w:rFonts w:ascii="Times New Roman" w:hAnsi="Times New Roman"/>
          <w:b/>
          <w:i/>
          <w:lang w:val="uk-UA"/>
        </w:rPr>
        <w:t>кількісні</w:t>
      </w:r>
      <w:r w:rsidRPr="009657FA">
        <w:rPr>
          <w:rFonts w:ascii="Times New Roman" w:hAnsi="Times New Roman"/>
          <w:b/>
          <w:i/>
          <w:spacing w:val="-2"/>
          <w:lang w:val="uk-UA"/>
        </w:rPr>
        <w:t xml:space="preserve"> </w:t>
      </w:r>
      <w:r w:rsidRPr="009657FA">
        <w:rPr>
          <w:rFonts w:ascii="Times New Roman" w:hAnsi="Times New Roman"/>
          <w:b/>
          <w:i/>
          <w:lang w:val="uk-UA"/>
        </w:rPr>
        <w:t>характеристики</w:t>
      </w:r>
      <w:r w:rsidRPr="009657FA">
        <w:rPr>
          <w:rFonts w:ascii="Times New Roman" w:hAnsi="Times New Roman"/>
          <w:b/>
          <w:i/>
          <w:spacing w:val="-2"/>
          <w:lang w:val="uk-UA"/>
        </w:rPr>
        <w:t xml:space="preserve"> </w:t>
      </w:r>
      <w:r w:rsidRPr="009657FA">
        <w:rPr>
          <w:rFonts w:ascii="Times New Roman" w:hAnsi="Times New Roman"/>
          <w:b/>
          <w:i/>
          <w:lang w:val="uk-UA"/>
        </w:rPr>
        <w:t>предмета закупівлі — технічні вимоги до предмета закупівлі</w:t>
      </w:r>
    </w:p>
    <w:p w:rsidR="00970F6D" w:rsidRPr="009657FA" w:rsidRDefault="00970F6D" w:rsidP="00970F6D">
      <w:pPr>
        <w:spacing w:after="0" w:line="240" w:lineRule="auto"/>
        <w:jc w:val="center"/>
        <w:rPr>
          <w:rFonts w:ascii="Times New Roman" w:hAnsi="Times New Roman"/>
          <w:b/>
          <w:bCs/>
          <w:lang w:val="uk-UA" w:eastAsia="ru-RU"/>
        </w:rPr>
      </w:pPr>
      <w:r>
        <w:rPr>
          <w:rFonts w:ascii="Times New Roman" w:hAnsi="Times New Roman"/>
          <w:b/>
          <w:bCs/>
          <w:lang w:val="uk-UA" w:eastAsia="ru-RU"/>
        </w:rPr>
        <w:t>послуги з розподілу електричної енергії</w:t>
      </w:r>
    </w:p>
    <w:p w:rsidR="00970F6D" w:rsidRDefault="00970F6D" w:rsidP="00970F6D">
      <w:pPr>
        <w:spacing w:after="0" w:line="240" w:lineRule="auto"/>
        <w:jc w:val="center"/>
        <w:rPr>
          <w:rFonts w:ascii="Times New Roman" w:hAnsi="Times New Roman"/>
          <w:b/>
          <w:bCs/>
          <w:lang w:val="uk-UA" w:eastAsia="ru-RU"/>
        </w:rPr>
      </w:pPr>
      <w:r w:rsidRPr="009657FA">
        <w:rPr>
          <w:rFonts w:ascii="Times New Roman" w:hAnsi="Times New Roman"/>
          <w:b/>
          <w:bCs/>
          <w:lang w:val="uk-UA" w:eastAsia="ru-RU"/>
        </w:rPr>
        <w:t xml:space="preserve">Код ДК 021:2015 </w:t>
      </w:r>
      <w:r>
        <w:rPr>
          <w:rFonts w:ascii="Times New Roman" w:hAnsi="Times New Roman"/>
          <w:b/>
          <w:bCs/>
          <w:lang w:val="uk-UA" w:eastAsia="ru-RU"/>
        </w:rPr>
        <w:t>65310000-9 «Розподіл електричної енергії»</w:t>
      </w:r>
    </w:p>
    <w:p w:rsidR="00970F6D" w:rsidRPr="009657FA" w:rsidRDefault="00970F6D" w:rsidP="00970F6D">
      <w:pPr>
        <w:spacing w:after="0" w:line="240" w:lineRule="auto"/>
        <w:jc w:val="center"/>
        <w:rPr>
          <w:rFonts w:ascii="Times New Roman" w:hAnsi="Times New Roman"/>
          <w:b/>
          <w:bCs/>
          <w:lang w:val="uk-UA" w:eastAsia="ru-RU"/>
        </w:rPr>
      </w:pP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>
        <w:rPr>
          <w:rFonts w:ascii="Times New Roman" w:hAnsi="Times New Roman"/>
          <w:bCs/>
          <w:lang w:val="uk-UA" w:eastAsia="ru-RU"/>
        </w:rPr>
        <w:t>Порядком</w:t>
      </w:r>
      <w:r w:rsidRPr="000924A4">
        <w:rPr>
          <w:rFonts w:ascii="Times New Roman" w:hAnsi="Times New Roman"/>
          <w:bCs/>
          <w:lang w:val="uk-UA" w:eastAsia="ru-RU"/>
        </w:rPr>
        <w:t xml:space="preserve"> забезпечення стандартів якості електропостачання та надання компенсацій споживачам за їх недотримання, затвердженому </w:t>
      </w:r>
      <w:hyperlink r:id="rId4" w:history="1">
        <w:r w:rsidRPr="000924A4">
          <w:rPr>
            <w:rStyle w:val="a7"/>
            <w:rFonts w:ascii="Times New Roman" w:hAnsi="Times New Roman"/>
            <w:bCs/>
            <w:lang w:val="uk-UA" w:eastAsia="ru-RU"/>
          </w:rPr>
          <w:t>постановою</w:t>
        </w:r>
      </w:hyperlink>
      <w:r w:rsidRPr="000924A4">
        <w:rPr>
          <w:rFonts w:ascii="Times New Roman" w:hAnsi="Times New Roman"/>
          <w:bCs/>
          <w:lang w:val="uk-UA" w:eastAsia="ru-RU"/>
        </w:rPr>
        <w:t xml:space="preserve"> НКРЕКП від 12.06.2018 року № 375, визначено 16 гарантованих стандартів для оператора системи розподілу (далі – ОСР) та 4 – для </w:t>
      </w:r>
      <w:proofErr w:type="spellStart"/>
      <w:r w:rsidRPr="000924A4">
        <w:rPr>
          <w:rFonts w:ascii="Times New Roman" w:hAnsi="Times New Roman"/>
          <w:bCs/>
          <w:lang w:val="uk-UA" w:eastAsia="ru-RU"/>
        </w:rPr>
        <w:t>електропостачальника</w:t>
      </w:r>
      <w:proofErr w:type="spellEnd"/>
      <w:r w:rsidRPr="000924A4">
        <w:rPr>
          <w:rFonts w:ascii="Times New Roman" w:hAnsi="Times New Roman"/>
          <w:bCs/>
          <w:lang w:val="uk-UA" w:eastAsia="ru-RU"/>
        </w:rPr>
        <w:t>, а також зазначено розмір компенсації за їх недотримання.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До загальних стандартів якості надання послуг ОСР належать: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1) дотримання  показників зміни напруги, встановлених </w:t>
      </w:r>
      <w:hyperlink r:id="rId5" w:anchor="Text" w:tgtFrame="_blank" w:history="1">
        <w:r w:rsidRPr="000924A4">
          <w:rPr>
            <w:rStyle w:val="a7"/>
            <w:rFonts w:ascii="Times New Roman" w:hAnsi="Times New Roman"/>
            <w:bCs/>
            <w:lang w:val="uk-UA" w:eastAsia="ru-RU"/>
          </w:rPr>
          <w:t>Кодексом систем розподілу</w:t>
        </w:r>
      </w:hyperlink>
      <w:r w:rsidRPr="000924A4">
        <w:rPr>
          <w:rFonts w:ascii="Times New Roman" w:hAnsi="Times New Roman"/>
          <w:bCs/>
          <w:lang w:val="uk-UA" w:eastAsia="ru-RU"/>
        </w:rPr>
        <w:t> (далі – КСР);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2) усунення причини недотримання показників якості електроенергії за результатами розгляду скарги (претензії) споживача щодо якості електричної енергії з дня, коли ОСР дізнався про недотримання показників якості електроенергії внаслідок візиту до споживача або за результатами проведення вимірювання. А також з дня отримання скарги (претензії) споживача у випадку, якщо ОСР вже були відомі причини недотримання показників якості електричної енергії. Недоліки усуваються у строк до 30 днів в разі можливості їх усунення оперативними діями персоналу ОСР; у строк до 180 днів в разі необхідності проведення будівельних робіт або заміни елементів мережі;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3) розгляд скарги (претензії) споживача щодо якості електричної енергії з наданням інформації, зазначеної у пункті 13.2.2 глави 13 КСР, з дня отримання скарги (претензії): у строк до 15 днів без проведення вимірювань параметрів якості електричної енергії в точці розподілу споживача та у строк до 30 днів у разі проведення вимірювань параметрів якості електричної енергії в точці розподілу споживача;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4) відновлення електропостачання після початку перерви в електропостачанні протягом 24 годин;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 xml:space="preserve">5) видача технічних умов на приєднання разом з </w:t>
      </w:r>
      <w:proofErr w:type="spellStart"/>
      <w:r w:rsidRPr="000924A4">
        <w:rPr>
          <w:rFonts w:ascii="Times New Roman" w:hAnsi="Times New Roman"/>
          <w:bCs/>
          <w:lang w:val="uk-UA" w:eastAsia="ru-RU"/>
        </w:rPr>
        <w:t>проєктом</w:t>
      </w:r>
      <w:proofErr w:type="spellEnd"/>
      <w:r w:rsidRPr="000924A4">
        <w:rPr>
          <w:rFonts w:ascii="Times New Roman" w:hAnsi="Times New Roman"/>
          <w:bCs/>
          <w:lang w:val="uk-UA" w:eastAsia="ru-RU"/>
        </w:rPr>
        <w:t xml:space="preserve"> договору про приєднання з дня реєстрації заяви про приєднання: у строк до 10 робочих днів для стандартного приєднання; у строк до10 робочих днів для нестандартного приєднання без необхідності погодження технічних умов з оператором системи передачі; у строк до 20 робочих днів для нестандартного приєднання при необхідності погодження технічних умов з оператором системи передачі;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 xml:space="preserve">6) подання робочої напруги для проведення випробувань електрообладнання замовника з дня отримання заяви замовника: у строк до 5 робочих днів, якщо подання напруги не потребує припинення електропостачання інших споживачів, у строк до 10 робочих днів, якщо подання напруги потребує припинення електропостачання інших </w:t>
      </w:r>
      <w:proofErr w:type="spellStart"/>
      <w:r w:rsidRPr="000924A4">
        <w:rPr>
          <w:rFonts w:ascii="Times New Roman" w:hAnsi="Times New Roman"/>
          <w:bCs/>
          <w:lang w:val="uk-UA" w:eastAsia="ru-RU"/>
        </w:rPr>
        <w:t>спожиачів</w:t>
      </w:r>
      <w:proofErr w:type="spellEnd"/>
      <w:r w:rsidRPr="000924A4">
        <w:rPr>
          <w:rFonts w:ascii="Times New Roman" w:hAnsi="Times New Roman"/>
          <w:bCs/>
          <w:lang w:val="uk-UA" w:eastAsia="ru-RU"/>
        </w:rPr>
        <w:t>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7) підключення електроустановок замовника до електричної мережі з дня отримання заяви замовника: у строк до 5 робочих днів, якщо підключення не потребує припинення електропостачання інших користувачів; у строк до 10 робочих днів, якщо підключення потребує припинення електропостачання інших користувачів;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8) видача паперового примірника укладеного договору про надання послуг з розподілу у строк до 3 робочих днів від дати отримання відповідного звернення споживача;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9) видача підписаного ОСР паспорту точки  розподілу у строк до 10 робочих днів від дати отримання відповідного звернення споживача;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10) відновлення електроживлення електроустановки споживача, яка була відключена за заявою споживача, у строк до 5 робочих днів з дати надання споживачем документів, що підтверджують оплату ліцензіату послуги з відновлення електроживлення;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11) відновлення електроживлення електроустановки споживача, яка була відключена за ініціативою ОСР, з дати надання споживачем підтвердження усунення виявлених порушень, оплати заборгованості за надані послуги та/або несанкціонований відбір електричної енергії, а також відшкодування збитків (за їх наявності): у міській місцевості – у строк до 3 робочих днів, у сільській місцевості – у строк до 5 робочих днів;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 xml:space="preserve">12) відновлення електроживлення електроустановки споживача, яка була відключена за зверненням </w:t>
      </w:r>
      <w:proofErr w:type="spellStart"/>
      <w:r w:rsidRPr="000924A4">
        <w:rPr>
          <w:rFonts w:ascii="Times New Roman" w:hAnsi="Times New Roman"/>
          <w:bCs/>
          <w:lang w:val="uk-UA" w:eastAsia="ru-RU"/>
        </w:rPr>
        <w:t>електропостачальника</w:t>
      </w:r>
      <w:proofErr w:type="spellEnd"/>
      <w:r w:rsidRPr="000924A4">
        <w:rPr>
          <w:rFonts w:ascii="Times New Roman" w:hAnsi="Times New Roman"/>
          <w:bCs/>
          <w:lang w:val="uk-UA" w:eastAsia="ru-RU"/>
        </w:rPr>
        <w:t xml:space="preserve">, з дати отримання від </w:t>
      </w:r>
      <w:proofErr w:type="spellStart"/>
      <w:r w:rsidRPr="000924A4">
        <w:rPr>
          <w:rFonts w:ascii="Times New Roman" w:hAnsi="Times New Roman"/>
          <w:bCs/>
          <w:lang w:val="uk-UA" w:eastAsia="ru-RU"/>
        </w:rPr>
        <w:t>електропостачальника</w:t>
      </w:r>
      <w:proofErr w:type="spellEnd"/>
      <w:r w:rsidRPr="000924A4">
        <w:rPr>
          <w:rFonts w:ascii="Times New Roman" w:hAnsi="Times New Roman"/>
          <w:bCs/>
          <w:lang w:val="uk-UA" w:eastAsia="ru-RU"/>
        </w:rPr>
        <w:t xml:space="preserve"> інформації про усунення причин відключення: у міській місцевості – у строк до 3 робочих днів, у сільській місцевості – у строк до 5 робочих днів;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13) перевірка лічильника у строк до 20 днів з дати отримання від споживача відповідної заяви;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lastRenderedPageBreak/>
        <w:t>14) розгляд звернень/скарг/претензій споживачів  з дня отримання звернення/скарги/претензії  споживача: у строк до 30 днів, у строк до 45 днів, якщо під час розгляду звернення необхідно здійснити технічну перевірку або провести експертизу засобу обліку;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15) розгляд звернень споживачів щодо відшкодування збитків, завданих внаслідок недотримання ОСР показників якості електропостачання у строк до 30 днів з дати отримання звернення;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16) розгляд звернень споживачів щодо перевірки правильності рахунку за послуги  з розподілу електричної енергії, якщо виставлення таких рахунків ОСР передбачене у договорі про надання послуг з розподілу електричної енергії зі споживачем, у строк до 5 робочих днів з дати отримання звернення.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У разі недотримання гарантованих стандартів якості надання послуг, зазначених у пункті 2.3 глави 2 Порядку, ОСР надає споживачу компенсацію у розмірах, наведених у додатку 1 до цього Порядку (за вирахуванням необхідних сум податків, якщо такі застосовуються), та відповідно до процедур, визначених главою 5 цього Порядку.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 xml:space="preserve">До гарантованих стандартів якості надання послуг </w:t>
      </w:r>
      <w:proofErr w:type="spellStart"/>
      <w:r w:rsidRPr="000924A4">
        <w:rPr>
          <w:rFonts w:ascii="Times New Roman" w:hAnsi="Times New Roman"/>
          <w:bCs/>
          <w:lang w:val="uk-UA" w:eastAsia="ru-RU"/>
        </w:rPr>
        <w:t>електропостачальника</w:t>
      </w:r>
      <w:proofErr w:type="spellEnd"/>
      <w:r w:rsidRPr="000924A4">
        <w:rPr>
          <w:rFonts w:ascii="Times New Roman" w:hAnsi="Times New Roman"/>
          <w:bCs/>
          <w:lang w:val="uk-UA" w:eastAsia="ru-RU"/>
        </w:rPr>
        <w:t xml:space="preserve"> відносять: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1) надання даних про споживання електричної енергії у строк до 5 робочих днів з дня отримання запиту споживача;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2) розгляд звернень/скарг/претензій споживачів з дня отримання звернення/скарги/претензії  споживача: у строк до 30 днів, у строк до 45 днів, якщо під час розгляду звернення необхідно здійснити технічну перевірку або провести експертизу засобу обліку;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>3) розгляд звернень споживачів щодо перевірки правильності рахунку на оплату у строк до 5 робочих днів з дати отримання звернення;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 xml:space="preserve">4) врахування суми відповідної компенсації за недотримання гарантованих  стандартів якості надання послуг ОСР у кінцевому рахунку за електричну енергії споживача (у  разі якщо постачання електричної  енергії споживачу здійснюється постачальником універсальних послуг або якщо відповідно до комерційної пропозиції </w:t>
      </w:r>
      <w:proofErr w:type="spellStart"/>
      <w:r w:rsidRPr="000924A4">
        <w:rPr>
          <w:rFonts w:ascii="Times New Roman" w:hAnsi="Times New Roman"/>
          <w:bCs/>
          <w:lang w:val="uk-UA" w:eastAsia="ru-RU"/>
        </w:rPr>
        <w:t>електропостачальника</w:t>
      </w:r>
      <w:proofErr w:type="spellEnd"/>
      <w:r w:rsidRPr="000924A4">
        <w:rPr>
          <w:rFonts w:ascii="Times New Roman" w:hAnsi="Times New Roman"/>
          <w:bCs/>
          <w:lang w:val="uk-UA" w:eastAsia="ru-RU"/>
        </w:rPr>
        <w:t xml:space="preserve"> плату за надання послуг з розподілу електричної енергії забезпечує </w:t>
      </w:r>
      <w:proofErr w:type="spellStart"/>
      <w:r w:rsidRPr="000924A4">
        <w:rPr>
          <w:rFonts w:ascii="Times New Roman" w:hAnsi="Times New Roman"/>
          <w:bCs/>
          <w:lang w:val="uk-UA" w:eastAsia="ru-RU"/>
        </w:rPr>
        <w:t>електропостальник</w:t>
      </w:r>
      <w:proofErr w:type="spellEnd"/>
      <w:r w:rsidRPr="000924A4">
        <w:rPr>
          <w:rFonts w:ascii="Times New Roman" w:hAnsi="Times New Roman"/>
          <w:bCs/>
          <w:lang w:val="uk-UA" w:eastAsia="ru-RU"/>
        </w:rPr>
        <w:t>) у строк до 30 днів з дня отримання повідомлення ОСР щодо виплати компенсації.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 xml:space="preserve">У разі недотримання гарантованих стандартів якості надання послуг, зазначених у пункті 3.3 глави 3 Порядку, </w:t>
      </w:r>
      <w:proofErr w:type="spellStart"/>
      <w:r w:rsidRPr="000924A4">
        <w:rPr>
          <w:rFonts w:ascii="Times New Roman" w:hAnsi="Times New Roman"/>
          <w:bCs/>
          <w:lang w:val="uk-UA" w:eastAsia="ru-RU"/>
        </w:rPr>
        <w:t>електропостачальник</w:t>
      </w:r>
      <w:proofErr w:type="spellEnd"/>
      <w:r w:rsidRPr="000924A4">
        <w:rPr>
          <w:rFonts w:ascii="Times New Roman" w:hAnsi="Times New Roman"/>
          <w:bCs/>
          <w:lang w:val="uk-UA" w:eastAsia="ru-RU"/>
        </w:rPr>
        <w:t xml:space="preserve"> надає споживачу компенсацію у розмірах, наведених у додатку 2 до цього Порядку (за вирахуванням необхідних сум податків, якщо такі застосовуються), та відповідно до процедур, визначених главою 5 цього Порядку. </w:t>
      </w:r>
      <w:proofErr w:type="spellStart"/>
      <w:r w:rsidRPr="000924A4">
        <w:rPr>
          <w:rFonts w:ascii="Times New Roman" w:hAnsi="Times New Roman"/>
          <w:bCs/>
          <w:lang w:val="uk-UA" w:eastAsia="ru-RU"/>
        </w:rPr>
        <w:t>Електропостачальник</w:t>
      </w:r>
      <w:proofErr w:type="spellEnd"/>
      <w:r w:rsidRPr="000924A4">
        <w:rPr>
          <w:rFonts w:ascii="Times New Roman" w:hAnsi="Times New Roman"/>
          <w:bCs/>
          <w:lang w:val="uk-UA" w:eastAsia="ru-RU"/>
        </w:rPr>
        <w:t xml:space="preserve"> за домовленістю зі споживачем може надавати компенсацію іншим способом, зокрема шляхом прямого платежу споживачу.</w:t>
      </w:r>
    </w:p>
    <w:p w:rsidR="00970F6D" w:rsidRPr="000924A4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  <w:r w:rsidRPr="000924A4">
        <w:rPr>
          <w:rFonts w:ascii="Times New Roman" w:hAnsi="Times New Roman"/>
          <w:bCs/>
          <w:lang w:val="uk-UA" w:eastAsia="ru-RU"/>
        </w:rPr>
        <w:t xml:space="preserve">У випадку ненадання ОСР або </w:t>
      </w:r>
      <w:proofErr w:type="spellStart"/>
      <w:r w:rsidRPr="000924A4">
        <w:rPr>
          <w:rFonts w:ascii="Times New Roman" w:hAnsi="Times New Roman"/>
          <w:bCs/>
          <w:lang w:val="uk-UA" w:eastAsia="ru-RU"/>
        </w:rPr>
        <w:t>електропостачальником</w:t>
      </w:r>
      <w:proofErr w:type="spellEnd"/>
      <w:r w:rsidRPr="000924A4">
        <w:rPr>
          <w:rFonts w:ascii="Times New Roman" w:hAnsi="Times New Roman"/>
          <w:bCs/>
          <w:lang w:val="uk-UA" w:eastAsia="ru-RU"/>
        </w:rPr>
        <w:t xml:space="preserve"> компенсації за недотримання гарантованих стандартів якості електропостачання, споживач має право самостійно звернутися із заявою до ОСР або </w:t>
      </w:r>
      <w:proofErr w:type="spellStart"/>
      <w:r w:rsidRPr="000924A4">
        <w:rPr>
          <w:rFonts w:ascii="Times New Roman" w:hAnsi="Times New Roman"/>
          <w:bCs/>
          <w:lang w:val="uk-UA" w:eastAsia="ru-RU"/>
        </w:rPr>
        <w:t>електропостачальника</w:t>
      </w:r>
      <w:proofErr w:type="spellEnd"/>
      <w:r w:rsidRPr="000924A4">
        <w:rPr>
          <w:rFonts w:ascii="Times New Roman" w:hAnsi="Times New Roman"/>
          <w:bCs/>
          <w:lang w:val="uk-UA" w:eastAsia="ru-RU"/>
        </w:rPr>
        <w:t>. У разі необґрунтованої відмови у наданні компенсації або залишення заяви без розгляду, споживач може звернутися до НКРЕКП.</w:t>
      </w:r>
    </w:p>
    <w:p w:rsidR="00970F6D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</w:p>
    <w:p w:rsidR="00970F6D" w:rsidRPr="00EB6646" w:rsidRDefault="00970F6D" w:rsidP="00970F6D">
      <w:pPr>
        <w:spacing w:after="0" w:line="240" w:lineRule="auto"/>
        <w:jc w:val="center"/>
        <w:rPr>
          <w:rFonts w:ascii="Times New Roman" w:hAnsi="Times New Roman"/>
          <w:b/>
          <w:bCs/>
          <w:lang w:val="uk-UA" w:eastAsia="ru-RU"/>
        </w:rPr>
      </w:pPr>
      <w:r w:rsidRPr="00EB6646">
        <w:rPr>
          <w:rFonts w:ascii="Times New Roman" w:hAnsi="Times New Roman"/>
          <w:b/>
          <w:bCs/>
          <w:lang w:val="uk-UA" w:eastAsia="ru-RU"/>
        </w:rPr>
        <w:t xml:space="preserve">Специфікація закупівлі </w:t>
      </w:r>
      <w:r>
        <w:rPr>
          <w:rFonts w:ascii="Times New Roman" w:hAnsi="Times New Roman"/>
          <w:b/>
          <w:bCs/>
          <w:lang w:val="uk-UA" w:eastAsia="ru-RU"/>
        </w:rPr>
        <w:t>послуг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2"/>
        <w:gridCol w:w="1780"/>
        <w:gridCol w:w="3520"/>
        <w:gridCol w:w="1725"/>
        <w:gridCol w:w="2121"/>
      </w:tblGrid>
      <w:tr w:rsidR="00970F6D" w:rsidTr="0007638E">
        <w:tc>
          <w:tcPr>
            <w:tcW w:w="482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 w:rsidRPr="00EB6646">
              <w:rPr>
                <w:rFonts w:ascii="Times New Roman" w:hAnsi="Times New Roman"/>
                <w:bCs/>
                <w:lang w:val="uk-UA" w:eastAsia="ru-RU"/>
              </w:rPr>
              <w:t>№ з/п</w:t>
            </w:r>
          </w:p>
        </w:tc>
        <w:tc>
          <w:tcPr>
            <w:tcW w:w="1781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 w:rsidRPr="00EB6646">
              <w:rPr>
                <w:rFonts w:ascii="Times New Roman" w:hAnsi="Times New Roman"/>
                <w:bCs/>
                <w:lang w:val="uk-UA" w:eastAsia="ru-RU"/>
              </w:rPr>
              <w:t>Назва товару</w:t>
            </w:r>
          </w:p>
        </w:tc>
        <w:tc>
          <w:tcPr>
            <w:tcW w:w="3520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 w:rsidRPr="00EB6646">
              <w:rPr>
                <w:rFonts w:ascii="Times New Roman" w:hAnsi="Times New Roman"/>
                <w:bCs/>
                <w:lang w:val="uk-UA" w:eastAsia="ru-RU"/>
              </w:rPr>
              <w:t>Технічні та якісні характеристики</w:t>
            </w:r>
          </w:p>
        </w:tc>
        <w:tc>
          <w:tcPr>
            <w:tcW w:w="1725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 w:rsidRPr="00EB6646">
              <w:rPr>
                <w:rFonts w:ascii="Times New Roman" w:hAnsi="Times New Roman"/>
                <w:bCs/>
                <w:lang w:val="uk-UA" w:eastAsia="ru-RU"/>
              </w:rPr>
              <w:t>Одиниця виміру</w:t>
            </w:r>
          </w:p>
        </w:tc>
        <w:tc>
          <w:tcPr>
            <w:tcW w:w="2121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 w:rsidRPr="00EB6646">
              <w:rPr>
                <w:rFonts w:ascii="Times New Roman" w:hAnsi="Times New Roman"/>
                <w:bCs/>
                <w:lang w:val="uk-UA" w:eastAsia="ru-RU"/>
              </w:rPr>
              <w:t>Кількість</w:t>
            </w:r>
          </w:p>
        </w:tc>
      </w:tr>
      <w:tr w:rsidR="00970F6D" w:rsidTr="0007638E">
        <w:tc>
          <w:tcPr>
            <w:tcW w:w="482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>
              <w:rPr>
                <w:rFonts w:ascii="Times New Roman" w:hAnsi="Times New Roman"/>
                <w:bCs/>
                <w:lang w:val="uk-UA" w:eastAsia="ru-RU"/>
              </w:rPr>
              <w:t>1</w:t>
            </w:r>
          </w:p>
        </w:tc>
        <w:tc>
          <w:tcPr>
            <w:tcW w:w="1781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>
              <w:rPr>
                <w:rFonts w:ascii="Times New Roman" w:hAnsi="Times New Roman"/>
                <w:bCs/>
                <w:lang w:val="uk-UA" w:eastAsia="ru-RU"/>
              </w:rPr>
              <w:t>2</w:t>
            </w:r>
          </w:p>
        </w:tc>
        <w:tc>
          <w:tcPr>
            <w:tcW w:w="3520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>
              <w:rPr>
                <w:rFonts w:ascii="Times New Roman" w:hAnsi="Times New Roman"/>
                <w:bCs/>
                <w:lang w:val="uk-UA" w:eastAsia="ru-RU"/>
              </w:rPr>
              <w:t>3</w:t>
            </w:r>
          </w:p>
        </w:tc>
        <w:tc>
          <w:tcPr>
            <w:tcW w:w="1725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>
              <w:rPr>
                <w:rFonts w:ascii="Times New Roman" w:hAnsi="Times New Roman"/>
                <w:bCs/>
                <w:lang w:val="uk-UA" w:eastAsia="ru-RU"/>
              </w:rPr>
              <w:t>4</w:t>
            </w:r>
          </w:p>
        </w:tc>
        <w:tc>
          <w:tcPr>
            <w:tcW w:w="2121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>
              <w:rPr>
                <w:rFonts w:ascii="Times New Roman" w:hAnsi="Times New Roman"/>
                <w:bCs/>
                <w:lang w:val="uk-UA" w:eastAsia="ru-RU"/>
              </w:rPr>
              <w:t>5</w:t>
            </w:r>
          </w:p>
        </w:tc>
      </w:tr>
      <w:tr w:rsidR="00970F6D" w:rsidTr="0007638E">
        <w:tc>
          <w:tcPr>
            <w:tcW w:w="482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>
              <w:rPr>
                <w:rFonts w:ascii="Times New Roman" w:hAnsi="Times New Roman"/>
                <w:bCs/>
                <w:lang w:val="uk-UA" w:eastAsia="ru-RU"/>
              </w:rPr>
              <w:t>1</w:t>
            </w:r>
          </w:p>
        </w:tc>
        <w:tc>
          <w:tcPr>
            <w:tcW w:w="1781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>
              <w:rPr>
                <w:rFonts w:ascii="Times New Roman" w:hAnsi="Times New Roman"/>
                <w:bCs/>
                <w:lang w:val="uk-UA" w:eastAsia="ru-RU"/>
              </w:rPr>
              <w:t xml:space="preserve">Послуги з розподілу електричної енергії  </w:t>
            </w:r>
          </w:p>
        </w:tc>
        <w:tc>
          <w:tcPr>
            <w:tcW w:w="3520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 w:rsidRPr="00EB6646">
              <w:rPr>
                <w:rFonts w:ascii="Times New Roman" w:hAnsi="Times New Roman"/>
                <w:bCs/>
                <w:lang w:val="uk-UA" w:eastAsia="ru-RU"/>
              </w:rPr>
              <w:t xml:space="preserve">Якість </w:t>
            </w:r>
            <w:r>
              <w:rPr>
                <w:rFonts w:ascii="Times New Roman" w:hAnsi="Times New Roman"/>
                <w:bCs/>
                <w:lang w:val="uk-UA" w:eastAsia="ru-RU"/>
              </w:rPr>
              <w:t>послуг з розподілу електричної енергії</w:t>
            </w:r>
            <w:r w:rsidRPr="00EB6646">
              <w:rPr>
                <w:rFonts w:ascii="Times New Roman" w:hAnsi="Times New Roman"/>
                <w:bCs/>
                <w:lang w:val="uk-UA" w:eastAsia="ru-RU"/>
              </w:rPr>
              <w:t xml:space="preserve"> повинна відповідати вимогам </w:t>
            </w:r>
            <w:r>
              <w:rPr>
                <w:rFonts w:ascii="Times New Roman" w:hAnsi="Times New Roman"/>
                <w:bCs/>
                <w:lang w:val="uk-UA" w:eastAsia="ru-RU"/>
              </w:rPr>
              <w:t>постанови НКРЕКП від 12.06.2018 № 375</w:t>
            </w:r>
          </w:p>
        </w:tc>
        <w:tc>
          <w:tcPr>
            <w:tcW w:w="1725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>
              <w:rPr>
                <w:rFonts w:ascii="Times New Roman" w:hAnsi="Times New Roman"/>
                <w:bCs/>
                <w:lang w:val="uk-UA" w:eastAsia="ru-RU"/>
              </w:rPr>
              <w:t>тис. кВт*год</w:t>
            </w:r>
          </w:p>
        </w:tc>
        <w:tc>
          <w:tcPr>
            <w:tcW w:w="2121" w:type="dxa"/>
          </w:tcPr>
          <w:p w:rsidR="00970F6D" w:rsidRDefault="00970F6D" w:rsidP="0007638E">
            <w:pPr>
              <w:spacing w:line="240" w:lineRule="auto"/>
              <w:jc w:val="center"/>
              <w:rPr>
                <w:rFonts w:ascii="Times New Roman" w:hAnsi="Times New Roman"/>
                <w:bCs/>
                <w:lang w:val="uk-UA" w:eastAsia="ru-RU"/>
              </w:rPr>
            </w:pPr>
            <w:r>
              <w:rPr>
                <w:rFonts w:ascii="Times New Roman" w:hAnsi="Times New Roman"/>
                <w:bCs/>
                <w:lang w:val="uk-UA" w:eastAsia="ru-RU"/>
              </w:rPr>
              <w:t>21,735</w:t>
            </w:r>
          </w:p>
        </w:tc>
      </w:tr>
    </w:tbl>
    <w:p w:rsidR="00970F6D" w:rsidRPr="00EB6646" w:rsidRDefault="00970F6D" w:rsidP="00970F6D">
      <w:pPr>
        <w:spacing w:after="0" w:line="240" w:lineRule="auto"/>
        <w:jc w:val="both"/>
        <w:rPr>
          <w:rFonts w:ascii="Times New Roman" w:hAnsi="Times New Roman"/>
          <w:bCs/>
          <w:lang w:val="uk-UA" w:eastAsia="ru-RU"/>
        </w:rPr>
      </w:pPr>
    </w:p>
    <w:p w:rsidR="00970F6D" w:rsidRDefault="00970F6D" w:rsidP="00970F6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B6646">
        <w:rPr>
          <w:rFonts w:ascii="Times New Roman" w:hAnsi="Times New Roman"/>
          <w:color w:val="000000"/>
          <w:sz w:val="24"/>
          <w:szCs w:val="24"/>
          <w:lang w:val="uk-UA"/>
        </w:rPr>
        <w:t xml:space="preserve">Поставка товару замовнику здійснюється за </w:t>
      </w:r>
      <w:proofErr w:type="spellStart"/>
      <w:r w:rsidRPr="00EB6646">
        <w:rPr>
          <w:rFonts w:ascii="Times New Roman" w:hAnsi="Times New Roman"/>
          <w:color w:val="000000"/>
          <w:sz w:val="24"/>
          <w:szCs w:val="24"/>
          <w:lang w:val="uk-UA"/>
        </w:rPr>
        <w:t>адресою</w:t>
      </w:r>
      <w:proofErr w:type="spellEnd"/>
      <w:r w:rsidRPr="00EB6646">
        <w:rPr>
          <w:rFonts w:ascii="Times New Roman" w:hAnsi="Times New Roman"/>
          <w:color w:val="000000"/>
          <w:sz w:val="24"/>
          <w:szCs w:val="24"/>
          <w:lang w:val="uk-UA"/>
        </w:rPr>
        <w:t xml:space="preserve">: Миколаївська обл. Вознесенський р-н </w:t>
      </w:r>
    </w:p>
    <w:p w:rsidR="00970F6D" w:rsidRDefault="00970F6D" w:rsidP="00970F6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с.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/>
        </w:rPr>
        <w:t>Мартинівське</w:t>
      </w:r>
      <w:proofErr w:type="spellEnd"/>
      <w:r w:rsidRPr="00EB6646">
        <w:rPr>
          <w:rFonts w:ascii="Times New Roman" w:hAnsi="Times New Roman"/>
          <w:color w:val="000000"/>
          <w:sz w:val="24"/>
          <w:szCs w:val="24"/>
          <w:lang w:val="uk-UA"/>
        </w:rPr>
        <w:t xml:space="preserve">, вул. Європейська, 1. </w:t>
      </w:r>
    </w:p>
    <w:p w:rsidR="00970F6D" w:rsidRDefault="00970F6D" w:rsidP="00970F6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B6646">
        <w:rPr>
          <w:rFonts w:ascii="Times New Roman" w:hAnsi="Times New Roman"/>
          <w:color w:val="000000"/>
          <w:sz w:val="24"/>
          <w:szCs w:val="24"/>
          <w:lang w:val="uk-UA"/>
        </w:rPr>
        <w:t xml:space="preserve">Строк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надання послуг з розподілу електричної енергії: до 31.12.2026</w:t>
      </w:r>
      <w:r w:rsidRPr="00EB6646">
        <w:rPr>
          <w:rFonts w:ascii="Times New Roman" w:hAnsi="Times New Roman"/>
          <w:color w:val="000000"/>
          <w:sz w:val="24"/>
          <w:szCs w:val="24"/>
          <w:lang w:val="uk-UA"/>
        </w:rPr>
        <w:t xml:space="preserve"> включно. </w:t>
      </w:r>
    </w:p>
    <w:p w:rsidR="004952A0" w:rsidRDefault="004952A0">
      <w:pPr>
        <w:rPr>
          <w:sz w:val="24"/>
          <w:szCs w:val="24"/>
          <w:lang w:val="uk-UA"/>
        </w:rPr>
      </w:pPr>
      <w:bookmarkStart w:id="0" w:name="_GoBack"/>
      <w:bookmarkEnd w:id="0"/>
    </w:p>
    <w:sectPr w:rsidR="004952A0" w:rsidSect="00AA32B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181"/>
    <w:rsid w:val="00137181"/>
    <w:rsid w:val="00292E0B"/>
    <w:rsid w:val="002B758F"/>
    <w:rsid w:val="002B7AFD"/>
    <w:rsid w:val="002E1CBA"/>
    <w:rsid w:val="002E7EF9"/>
    <w:rsid w:val="00326863"/>
    <w:rsid w:val="003F76A2"/>
    <w:rsid w:val="00404E60"/>
    <w:rsid w:val="00493E52"/>
    <w:rsid w:val="004952A0"/>
    <w:rsid w:val="005D0A14"/>
    <w:rsid w:val="0064773D"/>
    <w:rsid w:val="00653A20"/>
    <w:rsid w:val="00666200"/>
    <w:rsid w:val="006908A4"/>
    <w:rsid w:val="007023E2"/>
    <w:rsid w:val="0075363E"/>
    <w:rsid w:val="007C23EA"/>
    <w:rsid w:val="007C3726"/>
    <w:rsid w:val="007E7B49"/>
    <w:rsid w:val="00873CFE"/>
    <w:rsid w:val="009103D3"/>
    <w:rsid w:val="009451AF"/>
    <w:rsid w:val="00970F6D"/>
    <w:rsid w:val="009D2563"/>
    <w:rsid w:val="009F1532"/>
    <w:rsid w:val="00AA32B0"/>
    <w:rsid w:val="00AD05BD"/>
    <w:rsid w:val="00B47872"/>
    <w:rsid w:val="00BD0C32"/>
    <w:rsid w:val="00BE0BDA"/>
    <w:rsid w:val="00C324B6"/>
    <w:rsid w:val="00CD25A5"/>
    <w:rsid w:val="00D0595A"/>
    <w:rsid w:val="00D545C9"/>
    <w:rsid w:val="00DE50AA"/>
    <w:rsid w:val="00EB3372"/>
    <w:rsid w:val="00F2129A"/>
    <w:rsid w:val="00F31AE2"/>
    <w:rsid w:val="00F37F01"/>
    <w:rsid w:val="00F50B61"/>
    <w:rsid w:val="00F976EA"/>
    <w:rsid w:val="00FA555E"/>
    <w:rsid w:val="00FE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1B38B-72B3-4139-855D-66B8A733E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A14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404E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5D0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5D0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abuget">
    <w:name w:val="qa_buget"/>
    <w:basedOn w:val="a0"/>
    <w:rsid w:val="005D0A14"/>
  </w:style>
  <w:style w:type="character" w:customStyle="1" w:styleId="qacode">
    <w:name w:val="qa_code"/>
    <w:basedOn w:val="a0"/>
    <w:rsid w:val="005D0A14"/>
  </w:style>
  <w:style w:type="paragraph" w:styleId="a4">
    <w:name w:val="Normal (Web)"/>
    <w:basedOn w:val="a"/>
    <w:uiPriority w:val="99"/>
    <w:unhideWhenUsed/>
    <w:rsid w:val="00BD0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DE5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50A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04E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Hyperlink"/>
    <w:basedOn w:val="a0"/>
    <w:uiPriority w:val="99"/>
    <w:unhideWhenUsed/>
    <w:rsid w:val="00EB33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v0310874-18" TargetMode="External"/><Relationship Id="rId4" Type="http://schemas.openxmlformats.org/officeDocument/2006/relationships/hyperlink" Target="https://www.nerc.gov.ua/?id=324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Pazych</cp:lastModifiedBy>
  <cp:revision>30</cp:revision>
  <cp:lastPrinted>2023-04-18T13:20:00Z</cp:lastPrinted>
  <dcterms:created xsi:type="dcterms:W3CDTF">2021-11-22T14:01:00Z</dcterms:created>
  <dcterms:modified xsi:type="dcterms:W3CDTF">2026-10-07T07:17:00Z</dcterms:modified>
</cp:coreProperties>
</file>